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044B8C77" w14:textId="77777777" w:rsidTr="00E43297">
        <w:tc>
          <w:tcPr>
            <w:tcW w:w="1617" w:type="dxa"/>
          </w:tcPr>
          <w:p w14:paraId="29980B03" w14:textId="77777777" w:rsidR="0012209D" w:rsidRDefault="0012209D" w:rsidP="00E43297">
            <w:r>
              <w:t>Last updated:</w:t>
            </w:r>
          </w:p>
        </w:tc>
        <w:tc>
          <w:tcPr>
            <w:tcW w:w="8418" w:type="dxa"/>
          </w:tcPr>
          <w:p w14:paraId="48EB41E3" w14:textId="14BD8BCE" w:rsidR="0012209D" w:rsidRDefault="004F6849" w:rsidP="000E683D">
            <w:r>
              <w:t xml:space="preserve">March </w:t>
            </w:r>
            <w:r w:rsidR="00C9219B">
              <w:t>2018</w:t>
            </w:r>
          </w:p>
        </w:tc>
      </w:tr>
    </w:tbl>
    <w:p w14:paraId="61587364" w14:textId="77777777" w:rsidR="0012209D" w:rsidRDefault="0012209D" w:rsidP="0012209D"/>
    <w:p w14:paraId="2089528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3"/>
        <w:gridCol w:w="7124"/>
      </w:tblGrid>
      <w:tr w:rsidR="0012209D" w14:paraId="3C77563C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F3102E0" w14:textId="77777777" w:rsidR="0012209D" w:rsidRDefault="0012209D" w:rsidP="00E43297">
            <w:r>
              <w:t>Post title:</w:t>
            </w:r>
          </w:p>
        </w:tc>
        <w:tc>
          <w:tcPr>
            <w:tcW w:w="7226" w:type="dxa"/>
          </w:tcPr>
          <w:p w14:paraId="26483DCB" w14:textId="02754A4C" w:rsidR="0012209D" w:rsidRPr="00447FD8" w:rsidRDefault="000E683D" w:rsidP="00FD5B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Associate Dean </w:t>
            </w:r>
            <w:r w:rsidR="00653085">
              <w:rPr>
                <w:b/>
                <w:bCs/>
              </w:rPr>
              <w:t>(</w:t>
            </w:r>
            <w:r w:rsidR="00FD5BD8">
              <w:rPr>
                <w:b/>
                <w:bCs/>
              </w:rPr>
              <w:t>Education</w:t>
            </w:r>
            <w:r w:rsidR="00653085">
              <w:rPr>
                <w:b/>
                <w:bCs/>
              </w:rPr>
              <w:t>)</w:t>
            </w:r>
            <w:r w:rsidR="00F97F3F">
              <w:rPr>
                <w:b/>
                <w:bCs/>
              </w:rPr>
              <w:t xml:space="preserve"> </w:t>
            </w:r>
          </w:p>
        </w:tc>
      </w:tr>
      <w:tr w:rsidR="0012209D" w14:paraId="50A7C2A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9340C32" w14:textId="77777777" w:rsidR="0012209D" w:rsidRDefault="0012209D" w:rsidP="00E43297">
            <w:r>
              <w:t>Academic Unit/Service:</w:t>
            </w:r>
          </w:p>
        </w:tc>
        <w:tc>
          <w:tcPr>
            <w:tcW w:w="7226" w:type="dxa"/>
          </w:tcPr>
          <w:p w14:paraId="6CC4B02E" w14:textId="77777777" w:rsidR="0012209D" w:rsidRDefault="0012209D" w:rsidP="00E43297"/>
        </w:tc>
      </w:tr>
      <w:tr w:rsidR="00C9219B" w14:paraId="46332C96" w14:textId="77777777" w:rsidTr="00E43297">
        <w:tc>
          <w:tcPr>
            <w:tcW w:w="2525" w:type="dxa"/>
            <w:shd w:val="clear" w:color="auto" w:fill="D9D9D9" w:themeFill="background1" w:themeFillShade="D9"/>
          </w:tcPr>
          <w:p w14:paraId="4EE2864F" w14:textId="77777777" w:rsidR="00C9219B" w:rsidRDefault="00C9219B" w:rsidP="00E43297">
            <w:r>
              <w:t>Faculty:</w:t>
            </w:r>
          </w:p>
        </w:tc>
        <w:tc>
          <w:tcPr>
            <w:tcW w:w="7226" w:type="dxa"/>
          </w:tcPr>
          <w:p w14:paraId="63476D26" w14:textId="77777777" w:rsidR="00C9219B" w:rsidRDefault="00C9219B" w:rsidP="00E43297"/>
        </w:tc>
      </w:tr>
      <w:tr w:rsidR="000E683D" w14:paraId="77661050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44251E8" w14:textId="77777777" w:rsidR="000E683D" w:rsidRDefault="000E683D" w:rsidP="00E43297">
            <w:r>
              <w:t>Posts responsible to:</w:t>
            </w:r>
          </w:p>
        </w:tc>
        <w:tc>
          <w:tcPr>
            <w:tcW w:w="7226" w:type="dxa"/>
          </w:tcPr>
          <w:p w14:paraId="6F4CFBD5" w14:textId="04713987" w:rsidR="000E683D" w:rsidRPr="005508A2" w:rsidRDefault="00A84DA5" w:rsidP="00F97F3F">
            <w:r w:rsidRPr="000C25A9">
              <w:t>Dean of Faculty</w:t>
            </w:r>
            <w:r>
              <w:t xml:space="preserve"> (direct); Vice-President </w:t>
            </w:r>
            <w:r w:rsidR="00F97F3F">
              <w:t>Education</w:t>
            </w:r>
            <w:r>
              <w:t xml:space="preserve"> (indirect)</w:t>
            </w:r>
          </w:p>
        </w:tc>
      </w:tr>
      <w:tr w:rsidR="000E683D" w14:paraId="6D77F06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218CC9AC" w14:textId="77777777" w:rsidR="000E683D" w:rsidRDefault="000E683D" w:rsidP="00E43297">
            <w:r>
              <w:t>Posts responsible for:</w:t>
            </w:r>
          </w:p>
        </w:tc>
        <w:tc>
          <w:tcPr>
            <w:tcW w:w="7226" w:type="dxa"/>
          </w:tcPr>
          <w:p w14:paraId="312181A9" w14:textId="19CE4C6A" w:rsidR="000E683D" w:rsidRPr="005508A2" w:rsidRDefault="00AB4A9C" w:rsidP="0029043C">
            <w:r>
              <w:t xml:space="preserve">Indirect: </w:t>
            </w:r>
            <w:r w:rsidR="00875852">
              <w:t>Deputy Heads of School (Education)</w:t>
            </w:r>
            <w:r w:rsidR="00F97F3F">
              <w:t xml:space="preserve">, Faculty </w:t>
            </w:r>
            <w:r w:rsidR="0029043C">
              <w:t>Academic Registrar</w:t>
            </w:r>
          </w:p>
        </w:tc>
      </w:tr>
      <w:tr w:rsidR="000E683D" w14:paraId="0F2318B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2D4DBE16" w14:textId="77777777" w:rsidR="000E683D" w:rsidRDefault="000E683D" w:rsidP="00E43297">
            <w:r>
              <w:t>Post base:</w:t>
            </w:r>
          </w:p>
        </w:tc>
        <w:tc>
          <w:tcPr>
            <w:tcW w:w="7226" w:type="dxa"/>
          </w:tcPr>
          <w:p w14:paraId="1A822DC8" w14:textId="77777777" w:rsidR="000E683D" w:rsidRPr="005508A2" w:rsidRDefault="000E683D" w:rsidP="00A84DA5">
            <w:r>
              <w:t>Office-based</w:t>
            </w:r>
          </w:p>
        </w:tc>
      </w:tr>
    </w:tbl>
    <w:p w14:paraId="5076F94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93D3C" w14:paraId="2DB2AA30" w14:textId="77777777" w:rsidTr="00E43297">
        <w:tc>
          <w:tcPr>
            <w:tcW w:w="10137" w:type="dxa"/>
            <w:shd w:val="clear" w:color="auto" w:fill="D9D9D9" w:themeFill="background1" w:themeFillShade="D9"/>
          </w:tcPr>
          <w:p w14:paraId="7F45A407" w14:textId="77777777" w:rsidR="0012209D" w:rsidRPr="00293D3C" w:rsidRDefault="0012209D" w:rsidP="00E43297">
            <w:pPr>
              <w:rPr>
                <w:szCs w:val="18"/>
              </w:rPr>
            </w:pPr>
            <w:r w:rsidRPr="00293D3C">
              <w:rPr>
                <w:szCs w:val="18"/>
              </w:rPr>
              <w:t>Job purpose</w:t>
            </w:r>
          </w:p>
        </w:tc>
      </w:tr>
      <w:tr w:rsidR="0012209D" w:rsidRPr="00293D3C" w14:paraId="73ACB453" w14:textId="77777777" w:rsidTr="00293D3C">
        <w:trPr>
          <w:trHeight w:val="729"/>
        </w:trPr>
        <w:tc>
          <w:tcPr>
            <w:tcW w:w="10137" w:type="dxa"/>
          </w:tcPr>
          <w:p w14:paraId="3F441DFE" w14:textId="77777777" w:rsidR="0029043C" w:rsidRPr="000F02F9" w:rsidRDefault="0029043C" w:rsidP="0029043C">
            <w:pPr>
              <w:pStyle w:val="agm"/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0F02F9">
              <w:rPr>
                <w:rFonts w:ascii="Lucida Sans" w:hAnsi="Lucida Sans"/>
                <w:sz w:val="18"/>
                <w:szCs w:val="18"/>
              </w:rPr>
              <w:t xml:space="preserve">Associate Deans support the Vice-Presidents in the development of </w:t>
            </w:r>
            <w:proofErr w:type="gramStart"/>
            <w:r w:rsidRPr="000F02F9">
              <w:rPr>
                <w:rFonts w:ascii="Lucida Sans" w:hAnsi="Lucida Sans"/>
                <w:sz w:val="18"/>
                <w:szCs w:val="18"/>
              </w:rPr>
              <w:t>University</w:t>
            </w:r>
            <w:proofErr w:type="gramEnd"/>
            <w:r w:rsidRPr="000F02F9">
              <w:rPr>
                <w:rFonts w:ascii="Lucida Sans" w:hAnsi="Lucida Sans"/>
                <w:sz w:val="18"/>
                <w:szCs w:val="18"/>
              </w:rPr>
              <w:t xml:space="preserve"> strategy and further develop and lead the implementation of this strategy within the Faculty on behalf of the Dean.</w:t>
            </w:r>
          </w:p>
          <w:p w14:paraId="333F7237" w14:textId="77777777" w:rsidR="0029043C" w:rsidRPr="000F02F9" w:rsidRDefault="0029043C" w:rsidP="0029043C">
            <w:pPr>
              <w:pStyle w:val="agm"/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0F02F9">
              <w:rPr>
                <w:rFonts w:ascii="Lucida Sans" w:hAnsi="Lucida Sans"/>
                <w:sz w:val="18"/>
                <w:szCs w:val="18"/>
              </w:rPr>
              <w:t>The purpose of the Associate Dean (</w:t>
            </w:r>
            <w:r>
              <w:rPr>
                <w:rFonts w:ascii="Lucida Sans" w:hAnsi="Lucida Sans"/>
                <w:sz w:val="18"/>
                <w:szCs w:val="18"/>
              </w:rPr>
              <w:t>Education</w:t>
            </w:r>
            <w:r w:rsidRPr="000F02F9">
              <w:rPr>
                <w:rFonts w:ascii="Lucida Sans" w:hAnsi="Lucida Sans"/>
                <w:sz w:val="18"/>
                <w:szCs w:val="18"/>
              </w:rPr>
              <w:t>) role is to:</w:t>
            </w:r>
          </w:p>
          <w:p w14:paraId="240D72C3" w14:textId="499247C2" w:rsidR="0029043C" w:rsidRDefault="0029043C" w:rsidP="0029043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0F02F9">
              <w:rPr>
                <w:rFonts w:ascii="Lucida Sans" w:hAnsi="Lucida Sans"/>
                <w:sz w:val="18"/>
                <w:szCs w:val="18"/>
              </w:rPr>
              <w:t xml:space="preserve">Work with the Vice-President </w:t>
            </w:r>
            <w:r>
              <w:rPr>
                <w:rFonts w:ascii="Lucida Sans" w:hAnsi="Lucida Sans"/>
                <w:sz w:val="18"/>
                <w:szCs w:val="18"/>
              </w:rPr>
              <w:t>Education</w:t>
            </w:r>
            <w:r w:rsidR="00A809E4">
              <w:rPr>
                <w:rFonts w:ascii="Lucida Sans" w:hAnsi="Lucida Sans"/>
                <w:sz w:val="18"/>
                <w:szCs w:val="18"/>
              </w:rPr>
              <w:t xml:space="preserve">, Executive Director of Student Experience, </w:t>
            </w:r>
            <w:r w:rsidRPr="000F02F9">
              <w:rPr>
                <w:rFonts w:ascii="Lucida Sans" w:hAnsi="Lucida Sans"/>
                <w:sz w:val="18"/>
                <w:szCs w:val="18"/>
              </w:rPr>
              <w:t>other Associate Deans</w:t>
            </w:r>
            <w:r w:rsidR="00875852">
              <w:rPr>
                <w:rFonts w:ascii="Lucida Sans" w:hAnsi="Lucida Sans"/>
                <w:sz w:val="18"/>
                <w:szCs w:val="18"/>
              </w:rPr>
              <w:t>, Heads of School, Deputy Heads of School (Education)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706499">
              <w:rPr>
                <w:rFonts w:ascii="Lucida Sans" w:hAnsi="Lucida Sans"/>
                <w:sz w:val="18"/>
                <w:szCs w:val="18"/>
              </w:rPr>
              <w:t>and senior professional service colleagues i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n the development of </w:t>
            </w:r>
            <w:proofErr w:type="gramStart"/>
            <w:r w:rsidRPr="000F02F9">
              <w:rPr>
                <w:rFonts w:ascii="Lucida Sans" w:hAnsi="Lucida Sans"/>
                <w:sz w:val="18"/>
                <w:szCs w:val="18"/>
              </w:rPr>
              <w:t>University</w:t>
            </w:r>
            <w:proofErr w:type="gramEnd"/>
            <w:r w:rsidRPr="000F02F9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t>education</w:t>
            </w:r>
            <w:r w:rsidRPr="000F02F9">
              <w:rPr>
                <w:rFonts w:ascii="Lucida Sans" w:hAnsi="Lucida Sans"/>
                <w:sz w:val="18"/>
                <w:szCs w:val="18"/>
              </w:rPr>
              <w:t xml:space="preserve"> strategy and policy </w:t>
            </w:r>
          </w:p>
          <w:p w14:paraId="32F860F5" w14:textId="67A42B15" w:rsidR="0029043C" w:rsidRPr="00765FC2" w:rsidRDefault="0029043C" w:rsidP="0029043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765FC2">
              <w:rPr>
                <w:rFonts w:ascii="Lucida Sans" w:hAnsi="Lucida Sans"/>
                <w:sz w:val="18"/>
                <w:szCs w:val="18"/>
              </w:rPr>
              <w:t xml:space="preserve">Lead, manage, and promote the application of the strategy within the </w:t>
            </w:r>
            <w:proofErr w:type="gramStart"/>
            <w:r w:rsidRPr="00765FC2">
              <w:rPr>
                <w:rFonts w:ascii="Lucida Sans" w:hAnsi="Lucida Sans"/>
                <w:sz w:val="18"/>
                <w:szCs w:val="18"/>
              </w:rPr>
              <w:t>Faculty</w:t>
            </w:r>
            <w:proofErr w:type="gramEnd"/>
            <w:r w:rsidR="00944957">
              <w:rPr>
                <w:rFonts w:ascii="Lucida Sans" w:hAnsi="Lucida Sans"/>
                <w:sz w:val="18"/>
                <w:szCs w:val="18"/>
              </w:rPr>
              <w:t xml:space="preserve">, </w:t>
            </w:r>
            <w:r w:rsidR="00E15419">
              <w:rPr>
                <w:rFonts w:ascii="Lucida Sans" w:hAnsi="Lucida Sans"/>
                <w:sz w:val="18"/>
                <w:szCs w:val="18"/>
              </w:rPr>
              <w:t xml:space="preserve">lead on the </w:t>
            </w:r>
            <w:r w:rsidRPr="00765FC2">
              <w:rPr>
                <w:rFonts w:ascii="Lucida Sans" w:hAnsi="Lucida Sans"/>
                <w:sz w:val="18"/>
                <w:szCs w:val="18"/>
              </w:rPr>
              <w:t>develop</w:t>
            </w:r>
            <w:r w:rsidR="00E15419">
              <w:rPr>
                <w:rFonts w:ascii="Lucida Sans" w:hAnsi="Lucida Sans"/>
                <w:sz w:val="18"/>
                <w:szCs w:val="18"/>
              </w:rPr>
              <w:t>ment of</w:t>
            </w:r>
            <w:r w:rsidRPr="00765FC2">
              <w:rPr>
                <w:rFonts w:ascii="Lucida Sans" w:hAnsi="Lucida Sans"/>
                <w:sz w:val="18"/>
                <w:szCs w:val="18"/>
              </w:rPr>
              <w:t xml:space="preserve"> a Faculty</w:t>
            </w:r>
            <w:r w:rsidR="00944957">
              <w:rPr>
                <w:rFonts w:ascii="Lucida Sans" w:hAnsi="Lucida Sans"/>
                <w:sz w:val="18"/>
                <w:szCs w:val="18"/>
              </w:rPr>
              <w:t>-</w:t>
            </w:r>
            <w:r w:rsidRPr="00765FC2">
              <w:rPr>
                <w:rFonts w:ascii="Lucida Sans" w:hAnsi="Lucida Sans"/>
                <w:sz w:val="18"/>
                <w:szCs w:val="18"/>
              </w:rPr>
              <w:t>wide strategy that aligns with the aims of the University</w:t>
            </w:r>
            <w:r w:rsidR="00944957">
              <w:rPr>
                <w:rFonts w:ascii="Lucida Sans" w:hAnsi="Lucida Sans"/>
                <w:sz w:val="18"/>
                <w:szCs w:val="18"/>
              </w:rPr>
              <w:t>,</w:t>
            </w:r>
            <w:r w:rsidRPr="00765FC2">
              <w:rPr>
                <w:rFonts w:ascii="Lucida Sans" w:hAnsi="Lucida Sans"/>
                <w:sz w:val="18"/>
                <w:szCs w:val="18"/>
              </w:rPr>
              <w:t xml:space="preserve"> and translate the latter into KPIs relating to</w:t>
            </w:r>
            <w:r w:rsidR="00E3608C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765FC2">
              <w:rPr>
                <w:rFonts w:ascii="Lucida Sans" w:hAnsi="Lucida Sans"/>
                <w:sz w:val="18"/>
                <w:szCs w:val="18"/>
              </w:rPr>
              <w:t xml:space="preserve">education for the Faculty’s Schools  </w:t>
            </w:r>
          </w:p>
          <w:p w14:paraId="7F6F1135" w14:textId="77777777" w:rsidR="0029043C" w:rsidRDefault="0029043C" w:rsidP="00A50B5C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765FC2">
              <w:rPr>
                <w:rFonts w:ascii="Lucida Sans" w:hAnsi="Lucida Sans"/>
                <w:sz w:val="18"/>
                <w:szCs w:val="18"/>
              </w:rPr>
              <w:t xml:space="preserve">Take responsibility for ensuring the implementation of staff development and the evaluation of performance, and the dissemination of good practice relating to education </w:t>
            </w:r>
          </w:p>
          <w:p w14:paraId="47827AC5" w14:textId="2A9CE09D" w:rsidR="00CA5DC0" w:rsidRPr="00A50B5C" w:rsidRDefault="00944957" w:rsidP="00F17C92">
            <w:pPr>
              <w:pStyle w:val="agm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rFonts w:ascii="Lucida Sans" w:hAnsi="Lucida Sans"/>
                <w:sz w:val="18"/>
                <w:szCs w:val="18"/>
              </w:rPr>
            </w:pPr>
            <w:r w:rsidRPr="0029043C">
              <w:rPr>
                <w:rFonts w:ascii="Lucida Sans" w:hAnsi="Lucida Sans"/>
                <w:sz w:val="18"/>
                <w:szCs w:val="18"/>
              </w:rPr>
              <w:t xml:space="preserve">Lead on Faculty preparation and monitoring in relation to processes </w:t>
            </w:r>
            <w:r w:rsidR="00A809E4">
              <w:rPr>
                <w:rFonts w:ascii="Lucida Sans" w:hAnsi="Lucida Sans"/>
                <w:sz w:val="18"/>
                <w:szCs w:val="18"/>
              </w:rPr>
              <w:t xml:space="preserve">such as </w:t>
            </w:r>
            <w:r w:rsidRPr="0029043C">
              <w:rPr>
                <w:rFonts w:ascii="Lucida Sans" w:hAnsi="Lucida Sans"/>
                <w:sz w:val="18"/>
                <w:szCs w:val="18"/>
              </w:rPr>
              <w:t>N</w:t>
            </w:r>
            <w:r w:rsidR="001C5269">
              <w:rPr>
                <w:rFonts w:ascii="Lucida Sans" w:hAnsi="Lucida Sans"/>
                <w:sz w:val="18"/>
                <w:szCs w:val="18"/>
              </w:rPr>
              <w:t>ational Student Survey (NSS)</w:t>
            </w:r>
            <w:r w:rsidRPr="0029043C">
              <w:rPr>
                <w:rFonts w:ascii="Lucida Sans" w:hAnsi="Lucida Sans"/>
                <w:sz w:val="18"/>
                <w:szCs w:val="18"/>
              </w:rPr>
              <w:t xml:space="preserve"> and T</w:t>
            </w:r>
            <w:r w:rsidR="001C5269">
              <w:rPr>
                <w:rFonts w:ascii="Lucida Sans" w:hAnsi="Lucida Sans"/>
                <w:sz w:val="18"/>
                <w:szCs w:val="18"/>
              </w:rPr>
              <w:t>eaching Excellence Framework (T</w:t>
            </w:r>
            <w:r w:rsidRPr="0029043C">
              <w:rPr>
                <w:rFonts w:ascii="Lucida Sans" w:hAnsi="Lucida Sans"/>
                <w:sz w:val="18"/>
                <w:szCs w:val="18"/>
              </w:rPr>
              <w:t>EF</w:t>
            </w:r>
            <w:r w:rsidR="001C5269">
              <w:rPr>
                <w:rFonts w:ascii="Lucida Sans" w:hAnsi="Lucida Sans"/>
                <w:sz w:val="18"/>
                <w:szCs w:val="18"/>
              </w:rPr>
              <w:t>).</w:t>
            </w:r>
          </w:p>
        </w:tc>
      </w:tr>
    </w:tbl>
    <w:p w14:paraId="438ECF69" w14:textId="187EF906" w:rsidR="00AF1DD6" w:rsidRDefault="00AF1DD6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:rsidRPr="00293D3C" w14:paraId="1D7935E3" w14:textId="77777777" w:rsidTr="007C3A19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58B7C157" w14:textId="77777777" w:rsidR="0012209D" w:rsidRPr="00293D3C" w:rsidRDefault="00AF1DD6" w:rsidP="00E43297">
            <w:pPr>
              <w:rPr>
                <w:szCs w:val="18"/>
              </w:rPr>
            </w:pPr>
            <w:r w:rsidRPr="00293D3C">
              <w:rPr>
                <w:szCs w:val="18"/>
              </w:rPr>
              <w:br w:type="page"/>
            </w:r>
            <w:r w:rsidR="0012209D" w:rsidRPr="00293D3C">
              <w:rPr>
                <w:szCs w:val="18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C810A6A" w14:textId="77777777" w:rsidR="0012209D" w:rsidRPr="00293D3C" w:rsidRDefault="0012209D" w:rsidP="00E43297">
            <w:pPr>
              <w:rPr>
                <w:szCs w:val="18"/>
              </w:rPr>
            </w:pPr>
            <w:r w:rsidRPr="00293D3C">
              <w:rPr>
                <w:szCs w:val="18"/>
              </w:rPr>
              <w:t>% Time</w:t>
            </w:r>
          </w:p>
        </w:tc>
      </w:tr>
      <w:tr w:rsidR="0012209D" w:rsidRPr="00293D3C" w14:paraId="2055ED6A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4E1513D7" w14:textId="77777777" w:rsidR="0012209D" w:rsidRPr="00293D3C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0BB91C76" w14:textId="29E4EF2D" w:rsidR="00D05BE6" w:rsidRDefault="00D05BE6" w:rsidP="00336D3B">
            <w:pPr>
              <w:spacing w:before="120" w:after="120"/>
              <w:rPr>
                <w:b/>
              </w:rPr>
            </w:pPr>
            <w:r>
              <w:rPr>
                <w:b/>
              </w:rPr>
              <w:t>University level</w:t>
            </w:r>
          </w:p>
          <w:p w14:paraId="48EAC56D" w14:textId="150604AB" w:rsidR="00336D3B" w:rsidRDefault="0029043C" w:rsidP="00336D3B">
            <w:pPr>
              <w:spacing w:before="120" w:after="120"/>
            </w:pPr>
            <w:r w:rsidRPr="000F02F9">
              <w:rPr>
                <w:szCs w:val="18"/>
              </w:rPr>
              <w:t>Work with the Vice-</w:t>
            </w:r>
            <w:r w:rsidRPr="00912CDF">
              <w:rPr>
                <w:szCs w:val="18"/>
              </w:rPr>
              <w:t>President Education to l</w:t>
            </w:r>
            <w:r w:rsidRPr="00912CDF">
              <w:t xml:space="preserve">ead and contribute to cross-University education matters/initiatives, as </w:t>
            </w:r>
            <w:r w:rsidRPr="00912CDF">
              <w:rPr>
                <w:szCs w:val="18"/>
              </w:rPr>
              <w:t xml:space="preserve">required </w:t>
            </w:r>
            <w:r w:rsidR="00A0597D" w:rsidRPr="00336D3B">
              <w:rPr>
                <w:szCs w:val="18"/>
              </w:rPr>
              <w:t>by the Vice-President (Education) following consultation with the post holder</w:t>
            </w:r>
            <w:r w:rsidR="001C5269">
              <w:rPr>
                <w:szCs w:val="18"/>
              </w:rPr>
              <w:t>, for example:</w:t>
            </w:r>
            <w:r w:rsidR="00BE044B">
              <w:t xml:space="preserve"> </w:t>
            </w:r>
          </w:p>
          <w:p w14:paraId="1B8EC9FA" w14:textId="07D6B229" w:rsidR="00336D3B" w:rsidRDefault="00B17E26" w:rsidP="00336D3B">
            <w:pPr>
              <w:pStyle w:val="ListParagraph"/>
              <w:numPr>
                <w:ilvl w:val="0"/>
                <w:numId w:val="25"/>
              </w:numPr>
              <w:spacing w:before="120" w:after="120"/>
            </w:pPr>
            <w:r>
              <w:t xml:space="preserve">leading </w:t>
            </w:r>
            <w:r w:rsidR="001C5269">
              <w:t xml:space="preserve">on </w:t>
            </w:r>
            <w:proofErr w:type="gramStart"/>
            <w:r w:rsidR="001C5269">
              <w:t>particular aspects</w:t>
            </w:r>
            <w:proofErr w:type="gramEnd"/>
            <w:r w:rsidR="001C5269">
              <w:t xml:space="preserve"> of the University’s education </w:t>
            </w:r>
            <w:r>
              <w:t>strateg</w:t>
            </w:r>
            <w:r w:rsidR="001C5269">
              <w:t xml:space="preserve">y </w:t>
            </w:r>
          </w:p>
          <w:p w14:paraId="12BEDD20" w14:textId="6C8F452F" w:rsidR="008474BA" w:rsidRDefault="00BE044B" w:rsidP="00336D3B">
            <w:pPr>
              <w:pStyle w:val="ListParagraph"/>
              <w:numPr>
                <w:ilvl w:val="0"/>
                <w:numId w:val="25"/>
              </w:numPr>
              <w:spacing w:before="120" w:after="120"/>
            </w:pPr>
            <w:r>
              <w:t xml:space="preserve">leading </w:t>
            </w:r>
            <w:r w:rsidR="008474BA">
              <w:t xml:space="preserve">on quality improvement initiatives at all stages of the student journey, from enrolment to assessment </w:t>
            </w:r>
          </w:p>
          <w:p w14:paraId="01A504C4" w14:textId="77777777" w:rsidR="008B260F" w:rsidRDefault="00BE044B" w:rsidP="00336D3B">
            <w:pPr>
              <w:pStyle w:val="ListParagraph"/>
              <w:numPr>
                <w:ilvl w:val="0"/>
                <w:numId w:val="25"/>
              </w:numPr>
              <w:spacing w:before="120" w:after="120"/>
            </w:pPr>
            <w:r>
              <w:t>developing governance processes</w:t>
            </w:r>
            <w:r w:rsidR="008474BA">
              <w:t xml:space="preserve"> and drawing on best practice to </w:t>
            </w:r>
            <w:r w:rsidR="00D432C4">
              <w:t>improve the student experience.</w:t>
            </w:r>
            <w:r w:rsidR="0016097A">
              <w:t xml:space="preserve"> </w:t>
            </w:r>
          </w:p>
          <w:p w14:paraId="51719F3B" w14:textId="6FC4E185" w:rsidR="00D432C4" w:rsidRPr="00A50B5C" w:rsidRDefault="00D432C4" w:rsidP="00D432C4">
            <w:pPr>
              <w:pStyle w:val="ListParagraph"/>
              <w:numPr>
                <w:ilvl w:val="0"/>
                <w:numId w:val="25"/>
              </w:numPr>
              <w:spacing w:before="120" w:after="120"/>
            </w:pPr>
            <w:r>
              <w:t xml:space="preserve">leading on the relationship with </w:t>
            </w:r>
            <w:proofErr w:type="gramStart"/>
            <w:r>
              <w:t>particular external</w:t>
            </w:r>
            <w:proofErr w:type="gramEnd"/>
            <w:r>
              <w:t xml:space="preserve"> partners. </w:t>
            </w:r>
          </w:p>
        </w:tc>
        <w:tc>
          <w:tcPr>
            <w:tcW w:w="1018" w:type="dxa"/>
          </w:tcPr>
          <w:p w14:paraId="0EF67793" w14:textId="77777777" w:rsidR="0012209D" w:rsidRPr="00293D3C" w:rsidRDefault="00CA5DC0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  <w:r w:rsidR="00E804B0" w:rsidRPr="00293D3C">
              <w:rPr>
                <w:szCs w:val="18"/>
              </w:rPr>
              <w:t xml:space="preserve"> %</w:t>
            </w:r>
          </w:p>
        </w:tc>
      </w:tr>
      <w:tr w:rsidR="00A50B5C" w:rsidRPr="00293D3C" w14:paraId="3B697E0D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37B9366E" w14:textId="0E39A665" w:rsidR="00A50B5C" w:rsidRPr="00293D3C" w:rsidRDefault="00D432C4" w:rsidP="00A50B5C">
            <w:pPr>
              <w:pStyle w:val="ListParagraph"/>
              <w:ind w:left="360"/>
              <w:rPr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8008" w:type="dxa"/>
            <w:tcBorders>
              <w:left w:val="nil"/>
            </w:tcBorders>
          </w:tcPr>
          <w:p w14:paraId="054CC077" w14:textId="77777777" w:rsidR="00D432C4" w:rsidRDefault="00D432C4" w:rsidP="00A50B5C">
            <w:pPr>
              <w:spacing w:before="120" w:after="120"/>
            </w:pPr>
            <w:r>
              <w:t xml:space="preserve">Work in conjunction with other AD(E)s across committees and working groups to share and harmonize good practice to ensure consistency, efficiency and effectiveness of Education practice and processes.  </w:t>
            </w:r>
          </w:p>
          <w:p w14:paraId="14D883BA" w14:textId="0624775C" w:rsidR="00A50B5C" w:rsidRDefault="00A50B5C" w:rsidP="00A50B5C">
            <w:pPr>
              <w:spacing w:before="120" w:after="120"/>
              <w:rPr>
                <w:rFonts w:cs="Calibri"/>
                <w:color w:val="000000"/>
                <w:szCs w:val="18"/>
              </w:rPr>
            </w:pPr>
            <w:r w:rsidRPr="000F02F9">
              <w:rPr>
                <w:rFonts w:cs="Calibri"/>
                <w:color w:val="000000"/>
                <w:szCs w:val="18"/>
              </w:rPr>
              <w:t xml:space="preserve">Identify and lead interdisciplinary opportunities that will generate added value and work with other ADs, </w:t>
            </w:r>
            <w:proofErr w:type="spellStart"/>
            <w:r w:rsidRPr="000F02F9">
              <w:rPr>
                <w:rFonts w:cs="Calibri"/>
                <w:color w:val="000000"/>
                <w:szCs w:val="18"/>
              </w:rPr>
              <w:t>HoS</w:t>
            </w:r>
            <w:proofErr w:type="spellEnd"/>
            <w:r w:rsidR="00875852">
              <w:rPr>
                <w:rFonts w:cs="Calibri"/>
                <w:color w:val="000000"/>
                <w:szCs w:val="18"/>
              </w:rPr>
              <w:t xml:space="preserve">, Deputy </w:t>
            </w:r>
            <w:proofErr w:type="spellStart"/>
            <w:proofErr w:type="gramStart"/>
            <w:r w:rsidR="00875852">
              <w:rPr>
                <w:rFonts w:cs="Calibri"/>
                <w:color w:val="000000"/>
                <w:szCs w:val="18"/>
              </w:rPr>
              <w:t>HoS</w:t>
            </w:r>
            <w:proofErr w:type="spellEnd"/>
            <w:proofErr w:type="gramEnd"/>
            <w:r w:rsidRPr="000F02F9">
              <w:rPr>
                <w:rFonts w:cs="Calibri"/>
                <w:color w:val="000000"/>
                <w:szCs w:val="18"/>
              </w:rPr>
              <w:t xml:space="preserve"> and institute Directors in </w:t>
            </w:r>
            <w:r>
              <w:rPr>
                <w:rFonts w:cs="Calibri"/>
                <w:color w:val="000000"/>
                <w:szCs w:val="18"/>
              </w:rPr>
              <w:t xml:space="preserve">pursuing and implementing these </w:t>
            </w:r>
            <w:r w:rsidRPr="000F02F9">
              <w:rPr>
                <w:rFonts w:cs="Calibri"/>
                <w:color w:val="000000"/>
                <w:szCs w:val="18"/>
              </w:rPr>
              <w:t>opportunities.</w:t>
            </w:r>
          </w:p>
          <w:p w14:paraId="51422793" w14:textId="3DF8D615" w:rsidR="00A50B5C" w:rsidRPr="00A50B5C" w:rsidRDefault="00A50B5C" w:rsidP="00A50B5C">
            <w:pPr>
              <w:spacing w:before="120" w:after="120"/>
              <w:rPr>
                <w:rFonts w:cs="Calibri"/>
                <w:color w:val="000000"/>
                <w:szCs w:val="18"/>
              </w:rPr>
            </w:pPr>
            <w:r w:rsidRPr="00763D4D">
              <w:rPr>
                <w:szCs w:val="18"/>
              </w:rPr>
              <w:t xml:space="preserve">Work with the Vice President </w:t>
            </w:r>
            <w:r>
              <w:rPr>
                <w:szCs w:val="18"/>
              </w:rPr>
              <w:t>E</w:t>
            </w:r>
            <w:r w:rsidRPr="00763D4D">
              <w:rPr>
                <w:szCs w:val="18"/>
              </w:rPr>
              <w:t xml:space="preserve">ducation, </w:t>
            </w:r>
            <w:r w:rsidR="00706499">
              <w:rPr>
                <w:szCs w:val="18"/>
              </w:rPr>
              <w:t xml:space="preserve">Associate </w:t>
            </w:r>
            <w:r w:rsidRPr="00763D4D">
              <w:rPr>
                <w:szCs w:val="18"/>
              </w:rPr>
              <w:t>Vice-</w:t>
            </w:r>
            <w:r w:rsidR="00875852">
              <w:rPr>
                <w:szCs w:val="18"/>
              </w:rPr>
              <w:t xml:space="preserve">President(s), Executive Director Student Experience and </w:t>
            </w:r>
            <w:r w:rsidR="002401FA">
              <w:t>Faculty Academic Registrar</w:t>
            </w:r>
            <w:r w:rsidRPr="00763D4D">
              <w:rPr>
                <w:szCs w:val="18"/>
              </w:rPr>
              <w:t xml:space="preserve"> on issues that will develop and enhance the student experience</w:t>
            </w:r>
            <w:r w:rsidR="00D432C4">
              <w:rPr>
                <w:szCs w:val="18"/>
              </w:rPr>
              <w:t>.</w:t>
            </w:r>
          </w:p>
          <w:p w14:paraId="5769F3A6" w14:textId="71F5044C" w:rsidR="00A50B5C" w:rsidRDefault="00A50B5C" w:rsidP="00A50B5C">
            <w:pPr>
              <w:spacing w:before="120" w:after="120"/>
              <w:rPr>
                <w:b/>
              </w:rPr>
            </w:pPr>
            <w:r>
              <w:t>Contribute to institutional oversight of quality assurance.</w:t>
            </w:r>
          </w:p>
        </w:tc>
        <w:tc>
          <w:tcPr>
            <w:tcW w:w="1018" w:type="dxa"/>
          </w:tcPr>
          <w:p w14:paraId="16B51168" w14:textId="77777777" w:rsidR="00A50B5C" w:rsidRDefault="00A50B5C">
            <w:pPr>
              <w:rPr>
                <w:szCs w:val="18"/>
              </w:rPr>
            </w:pPr>
          </w:p>
        </w:tc>
      </w:tr>
      <w:tr w:rsidR="00A84DA5" w:rsidRPr="00293D3C" w14:paraId="61BB09D6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1B81B907" w14:textId="77777777" w:rsidR="00A84DA5" w:rsidRPr="00293D3C" w:rsidRDefault="00A84DA5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04C7630B" w14:textId="33EED7D9" w:rsidR="00D05BE6" w:rsidRPr="00336D3B" w:rsidRDefault="00D05BE6" w:rsidP="000D7B82">
            <w:pPr>
              <w:spacing w:before="120" w:after="120"/>
              <w:rPr>
                <w:b/>
                <w:szCs w:val="18"/>
              </w:rPr>
            </w:pPr>
            <w:r w:rsidRPr="00336D3B">
              <w:rPr>
                <w:b/>
                <w:szCs w:val="18"/>
              </w:rPr>
              <w:t>Faculty level</w:t>
            </w:r>
          </w:p>
          <w:p w14:paraId="6C7B0933" w14:textId="190DAB02" w:rsidR="003C4993" w:rsidRPr="00336D3B" w:rsidRDefault="000E7C02" w:rsidP="000D7B82">
            <w:pPr>
              <w:spacing w:before="120" w:after="120"/>
              <w:rPr>
                <w:szCs w:val="18"/>
              </w:rPr>
            </w:pPr>
            <w:r w:rsidRPr="00336D3B">
              <w:rPr>
                <w:szCs w:val="18"/>
              </w:rPr>
              <w:t>D</w:t>
            </w:r>
            <w:r w:rsidR="00164ED0" w:rsidRPr="00336D3B">
              <w:rPr>
                <w:szCs w:val="18"/>
              </w:rPr>
              <w:t xml:space="preserve">evelop and implement a </w:t>
            </w:r>
            <w:proofErr w:type="gramStart"/>
            <w:r w:rsidR="00164ED0" w:rsidRPr="00336D3B">
              <w:rPr>
                <w:szCs w:val="18"/>
              </w:rPr>
              <w:t>Faculty</w:t>
            </w:r>
            <w:proofErr w:type="gramEnd"/>
            <w:r w:rsidR="00164ED0" w:rsidRPr="00336D3B">
              <w:rPr>
                <w:szCs w:val="18"/>
              </w:rPr>
              <w:t xml:space="preserve"> </w:t>
            </w:r>
            <w:r w:rsidR="00706499">
              <w:rPr>
                <w:szCs w:val="18"/>
              </w:rPr>
              <w:t xml:space="preserve">education </w:t>
            </w:r>
            <w:r w:rsidR="00164ED0" w:rsidRPr="00336D3B">
              <w:rPr>
                <w:szCs w:val="18"/>
              </w:rPr>
              <w:t xml:space="preserve">strategy </w:t>
            </w:r>
            <w:r w:rsidR="003C4993" w:rsidRPr="00336D3B">
              <w:rPr>
                <w:szCs w:val="18"/>
              </w:rPr>
              <w:t xml:space="preserve">that aligns with the </w:t>
            </w:r>
            <w:r w:rsidR="00043C4A" w:rsidRPr="00336D3B">
              <w:rPr>
                <w:szCs w:val="18"/>
              </w:rPr>
              <w:t xml:space="preserve">strategic aims of the </w:t>
            </w:r>
            <w:r w:rsidR="003C4993" w:rsidRPr="000D7B82">
              <w:rPr>
                <w:szCs w:val="18"/>
              </w:rPr>
              <w:t>University</w:t>
            </w:r>
            <w:r w:rsidR="008B260F" w:rsidRPr="000D7B82">
              <w:rPr>
                <w:szCs w:val="18"/>
              </w:rPr>
              <w:t xml:space="preserve">, </w:t>
            </w:r>
            <w:r w:rsidR="008368A4">
              <w:rPr>
                <w:szCs w:val="18"/>
              </w:rPr>
              <w:t>working with the F</w:t>
            </w:r>
            <w:r w:rsidR="00361810">
              <w:rPr>
                <w:szCs w:val="18"/>
              </w:rPr>
              <w:t xml:space="preserve">aculty </w:t>
            </w:r>
            <w:r w:rsidR="00DE034B">
              <w:rPr>
                <w:szCs w:val="18"/>
              </w:rPr>
              <w:t>Board</w:t>
            </w:r>
            <w:r w:rsidR="008368A4">
              <w:rPr>
                <w:szCs w:val="18"/>
              </w:rPr>
              <w:t xml:space="preserve"> and Schools to </w:t>
            </w:r>
            <w:r w:rsidR="008B260F" w:rsidRPr="000D7B82">
              <w:rPr>
                <w:szCs w:val="18"/>
              </w:rPr>
              <w:t xml:space="preserve">identify KPIs </w:t>
            </w:r>
            <w:r w:rsidR="008A5DED">
              <w:rPr>
                <w:szCs w:val="18"/>
              </w:rPr>
              <w:t xml:space="preserve">relating to Education </w:t>
            </w:r>
            <w:r w:rsidR="008B260F" w:rsidRPr="000D7B82">
              <w:rPr>
                <w:szCs w:val="18"/>
              </w:rPr>
              <w:t>at both Faculty and School levels,</w:t>
            </w:r>
            <w:r w:rsidR="00043C4A" w:rsidRPr="000D7B82">
              <w:rPr>
                <w:szCs w:val="18"/>
              </w:rPr>
              <w:t xml:space="preserve"> </w:t>
            </w:r>
            <w:r w:rsidR="00043C4A" w:rsidRPr="00336D3B">
              <w:rPr>
                <w:rFonts w:cs="Calibri"/>
                <w:szCs w:val="18"/>
              </w:rPr>
              <w:t xml:space="preserve">and ensure </w:t>
            </w:r>
            <w:r w:rsidR="008B260F" w:rsidRPr="00336D3B">
              <w:rPr>
                <w:rFonts w:cs="Calibri"/>
                <w:szCs w:val="18"/>
              </w:rPr>
              <w:t xml:space="preserve">that </w:t>
            </w:r>
            <w:r w:rsidR="00043C4A" w:rsidRPr="00336D3B">
              <w:rPr>
                <w:rFonts w:cs="Calibri"/>
                <w:szCs w:val="18"/>
              </w:rPr>
              <w:t>delivery</w:t>
            </w:r>
            <w:r w:rsidR="00255B68" w:rsidRPr="00336D3B">
              <w:rPr>
                <w:rFonts w:cs="Calibri"/>
                <w:szCs w:val="18"/>
              </w:rPr>
              <w:t xml:space="preserve"> of the strategy</w:t>
            </w:r>
            <w:r w:rsidR="00043C4A" w:rsidRPr="00336D3B">
              <w:rPr>
                <w:rFonts w:cs="Calibri"/>
                <w:szCs w:val="18"/>
              </w:rPr>
              <w:t xml:space="preserve"> contributes significantly to meeting the Faculty annual business planning objectives.</w:t>
            </w:r>
          </w:p>
          <w:p w14:paraId="7EA14DE6" w14:textId="0D366B24" w:rsidR="00255B68" w:rsidRPr="000D7B82" w:rsidRDefault="008B260F" w:rsidP="000D7B82">
            <w:pPr>
              <w:spacing w:before="120" w:after="120"/>
              <w:rPr>
                <w:szCs w:val="18"/>
              </w:rPr>
            </w:pPr>
            <w:r w:rsidRPr="00336D3B">
              <w:rPr>
                <w:szCs w:val="18"/>
              </w:rPr>
              <w:t xml:space="preserve">Contribute </w:t>
            </w:r>
            <w:r w:rsidR="00CA5DC0" w:rsidRPr="00336D3B">
              <w:rPr>
                <w:szCs w:val="18"/>
              </w:rPr>
              <w:t xml:space="preserve">effectively, as a member of the Faculty Board, </w:t>
            </w:r>
            <w:r w:rsidRPr="00336D3B">
              <w:rPr>
                <w:szCs w:val="18"/>
              </w:rPr>
              <w:t xml:space="preserve">to </w:t>
            </w:r>
            <w:r w:rsidR="00CA5DC0" w:rsidRPr="00336D3B">
              <w:rPr>
                <w:szCs w:val="18"/>
              </w:rPr>
              <w:t xml:space="preserve">strategic leadership, management and </w:t>
            </w:r>
            <w:r w:rsidRPr="000D7B82">
              <w:rPr>
                <w:szCs w:val="18"/>
              </w:rPr>
              <w:t>business planning</w:t>
            </w:r>
            <w:r w:rsidR="00CA5DC0" w:rsidRPr="000D7B82">
              <w:rPr>
                <w:szCs w:val="18"/>
              </w:rPr>
              <w:t xml:space="preserve"> activity </w:t>
            </w:r>
            <w:r w:rsidRPr="000D7B82">
              <w:rPr>
                <w:szCs w:val="18"/>
              </w:rPr>
              <w:t xml:space="preserve">in </w:t>
            </w:r>
            <w:r w:rsidR="00CA5DC0" w:rsidRPr="000D7B82">
              <w:rPr>
                <w:szCs w:val="18"/>
              </w:rPr>
              <w:t xml:space="preserve">the </w:t>
            </w:r>
            <w:proofErr w:type="gramStart"/>
            <w:r w:rsidR="00CA5DC0" w:rsidRPr="000D7B82">
              <w:rPr>
                <w:szCs w:val="18"/>
              </w:rPr>
              <w:t>Faculty</w:t>
            </w:r>
            <w:proofErr w:type="gramEnd"/>
            <w:r w:rsidR="00CA5DC0" w:rsidRPr="000D7B82">
              <w:rPr>
                <w:szCs w:val="18"/>
              </w:rPr>
              <w:t xml:space="preserve">. </w:t>
            </w:r>
          </w:p>
          <w:p w14:paraId="51ABFD35" w14:textId="77777777" w:rsidR="0029043C" w:rsidRDefault="0029043C" w:rsidP="0029043C">
            <w:pPr>
              <w:spacing w:before="120" w:after="120"/>
              <w:rPr>
                <w:b/>
                <w:szCs w:val="18"/>
              </w:rPr>
            </w:pPr>
            <w:r w:rsidRPr="000F02F9">
              <w:rPr>
                <w:b/>
                <w:szCs w:val="18"/>
              </w:rPr>
              <w:t>Faculty level operational</w:t>
            </w:r>
          </w:p>
          <w:p w14:paraId="3231C5B3" w14:textId="3C099EC2" w:rsidR="004015AF" w:rsidRDefault="00255B68" w:rsidP="008A5DED">
            <w:pPr>
              <w:spacing w:before="120" w:after="120"/>
              <w:rPr>
                <w:szCs w:val="18"/>
              </w:rPr>
            </w:pPr>
            <w:r w:rsidRPr="00A0597D">
              <w:rPr>
                <w:szCs w:val="18"/>
              </w:rPr>
              <w:t xml:space="preserve">Work effectively with the </w:t>
            </w:r>
            <w:r w:rsidR="00875852">
              <w:rPr>
                <w:szCs w:val="18"/>
              </w:rPr>
              <w:t>Heads of/Deputy Heads of School</w:t>
            </w:r>
            <w:r w:rsidRPr="00A0597D">
              <w:rPr>
                <w:szCs w:val="18"/>
              </w:rPr>
              <w:t xml:space="preserve"> </w:t>
            </w:r>
            <w:r w:rsidRPr="00875852">
              <w:rPr>
                <w:szCs w:val="18"/>
              </w:rPr>
              <w:t xml:space="preserve">and </w:t>
            </w:r>
            <w:r w:rsidR="002401FA" w:rsidRPr="00875852">
              <w:t>Faculty Academic Registrar</w:t>
            </w:r>
            <w:r w:rsidR="002401FA" w:rsidRPr="00875852">
              <w:rPr>
                <w:szCs w:val="18"/>
              </w:rPr>
              <w:t xml:space="preserve"> </w:t>
            </w:r>
            <w:r w:rsidRPr="00875852">
              <w:rPr>
                <w:szCs w:val="18"/>
              </w:rPr>
              <w:t>to ensure that effective processes ar</w:t>
            </w:r>
            <w:r w:rsidR="004C130E" w:rsidRPr="00875852">
              <w:rPr>
                <w:szCs w:val="18"/>
              </w:rPr>
              <w:t xml:space="preserve">e in place for governance, approvals, review and conduct of </w:t>
            </w:r>
            <w:r w:rsidRPr="00875852">
              <w:rPr>
                <w:szCs w:val="18"/>
              </w:rPr>
              <w:t>Education</w:t>
            </w:r>
            <w:r w:rsidR="001D7FC5" w:rsidRPr="00875852">
              <w:rPr>
                <w:szCs w:val="18"/>
              </w:rPr>
              <w:t xml:space="preserve"> in the Faculty</w:t>
            </w:r>
            <w:r w:rsidR="004015AF" w:rsidRPr="00875852">
              <w:rPr>
                <w:szCs w:val="18"/>
              </w:rPr>
              <w:t>.</w:t>
            </w:r>
          </w:p>
          <w:p w14:paraId="19F788A3" w14:textId="098555DA" w:rsidR="00D05BE6" w:rsidRDefault="001D7FC5" w:rsidP="008A5DED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Work with the </w:t>
            </w:r>
            <w:r w:rsidR="00875852">
              <w:rPr>
                <w:szCs w:val="18"/>
              </w:rPr>
              <w:t>Heads/Deputy Heads of School (Education)</w:t>
            </w:r>
            <w:r>
              <w:rPr>
                <w:szCs w:val="18"/>
              </w:rPr>
              <w:t xml:space="preserve"> and </w:t>
            </w:r>
            <w:r w:rsidR="002401FA">
              <w:t>Faculty Academic Registrar</w:t>
            </w:r>
            <w:r w:rsidR="002401FA">
              <w:rPr>
                <w:szCs w:val="18"/>
              </w:rPr>
              <w:t xml:space="preserve"> </w:t>
            </w:r>
            <w:r>
              <w:rPr>
                <w:szCs w:val="18"/>
              </w:rPr>
              <w:t>to e</w:t>
            </w:r>
            <w:r w:rsidR="00255B68" w:rsidRPr="008A5DED">
              <w:rPr>
                <w:szCs w:val="18"/>
              </w:rPr>
              <w:t xml:space="preserve">nsure that </w:t>
            </w:r>
            <w:r>
              <w:rPr>
                <w:szCs w:val="18"/>
              </w:rPr>
              <w:t xml:space="preserve">every programme in </w:t>
            </w:r>
            <w:r w:rsidR="00255B68" w:rsidRPr="008A5DED">
              <w:rPr>
                <w:szCs w:val="18"/>
              </w:rPr>
              <w:t xml:space="preserve">the </w:t>
            </w:r>
            <w:proofErr w:type="gramStart"/>
            <w:r w:rsidR="00255B68" w:rsidRPr="008A5DED">
              <w:rPr>
                <w:szCs w:val="18"/>
              </w:rPr>
              <w:t>Faculty’s</w:t>
            </w:r>
            <w:proofErr w:type="gramEnd"/>
            <w:r w:rsidR="00255B68" w:rsidRPr="008A5DED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education portfolio is </w:t>
            </w:r>
            <w:r w:rsidR="00255B68" w:rsidRPr="008A5DED">
              <w:rPr>
                <w:szCs w:val="18"/>
              </w:rPr>
              <w:t>of high quality, rigorous and stretching and research</w:t>
            </w:r>
            <w:r>
              <w:rPr>
                <w:szCs w:val="18"/>
              </w:rPr>
              <w:t>-</w:t>
            </w:r>
            <w:r w:rsidR="00255B68" w:rsidRPr="008A5DED">
              <w:rPr>
                <w:szCs w:val="18"/>
              </w:rPr>
              <w:t>informed, and attractive to high quality students.</w:t>
            </w:r>
          </w:p>
          <w:p w14:paraId="741081B1" w14:textId="64DE85BF" w:rsidR="00706499" w:rsidRPr="008A5DED" w:rsidRDefault="004015AF" w:rsidP="008A5DED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Maintain oversight of </w:t>
            </w:r>
            <w:r w:rsidR="001D7FC5">
              <w:rPr>
                <w:szCs w:val="18"/>
              </w:rPr>
              <w:t xml:space="preserve">and work with the </w:t>
            </w:r>
            <w:r w:rsidR="00875852">
              <w:rPr>
                <w:szCs w:val="18"/>
              </w:rPr>
              <w:t xml:space="preserve">Heads of School/Deputy Heads of School (Education) </w:t>
            </w:r>
            <w:r w:rsidR="001D7FC5">
              <w:rPr>
                <w:szCs w:val="18"/>
              </w:rPr>
              <w:t xml:space="preserve">and </w:t>
            </w:r>
            <w:r w:rsidR="002401FA">
              <w:t>Faculty Academic Registrar</w:t>
            </w:r>
            <w:r w:rsidR="002401FA">
              <w:rPr>
                <w:szCs w:val="18"/>
              </w:rPr>
              <w:t xml:space="preserve"> </w:t>
            </w:r>
            <w:r w:rsidR="001D7FC5">
              <w:rPr>
                <w:szCs w:val="18"/>
              </w:rPr>
              <w:t xml:space="preserve">to ensure </w:t>
            </w:r>
            <w:r>
              <w:rPr>
                <w:szCs w:val="18"/>
              </w:rPr>
              <w:t xml:space="preserve">the quality of student support, course organisation, student progression and outcomes, and the student experience in the </w:t>
            </w:r>
            <w:proofErr w:type="gramStart"/>
            <w:r>
              <w:rPr>
                <w:szCs w:val="18"/>
              </w:rPr>
              <w:t>Faculty</w:t>
            </w:r>
            <w:proofErr w:type="gramEnd"/>
            <w:r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384C49E1" w14:textId="11E3618C" w:rsidR="00A84DA5" w:rsidRPr="00293D3C" w:rsidRDefault="00D05BE6" w:rsidP="00E43297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  <w:r w:rsidR="00DF2B3F">
              <w:rPr>
                <w:szCs w:val="18"/>
              </w:rPr>
              <w:t>0</w:t>
            </w:r>
            <w:r w:rsidR="00DF2B3F" w:rsidRPr="00293D3C">
              <w:rPr>
                <w:szCs w:val="18"/>
              </w:rPr>
              <w:t xml:space="preserve"> %</w:t>
            </w:r>
          </w:p>
        </w:tc>
      </w:tr>
      <w:tr w:rsidR="000A100D" w:rsidRPr="00293D3C" w14:paraId="45D844CC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5F75536C" w14:textId="3A7A201F" w:rsidR="000A100D" w:rsidRPr="00293D3C" w:rsidRDefault="000A100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2088F8BE" w14:textId="77777777" w:rsidR="00D05BE6" w:rsidRPr="00DF41F9" w:rsidRDefault="00D05BE6" w:rsidP="00D05BE6">
            <w:pPr>
              <w:rPr>
                <w:b/>
                <w:szCs w:val="18"/>
              </w:rPr>
            </w:pPr>
            <w:r w:rsidRPr="00DF41F9">
              <w:rPr>
                <w:b/>
                <w:szCs w:val="18"/>
              </w:rPr>
              <w:t>Staff Performance/Development</w:t>
            </w:r>
          </w:p>
          <w:p w14:paraId="79FB9CFF" w14:textId="4119CA1D" w:rsidR="000A100D" w:rsidRPr="00D05BE6" w:rsidRDefault="00E51586" w:rsidP="0029043C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D05BE6">
              <w:rPr>
                <w:b/>
                <w:szCs w:val="18"/>
              </w:rPr>
              <w:t xml:space="preserve">Appointment </w:t>
            </w:r>
            <w:r w:rsidR="0061418C">
              <w:rPr>
                <w:b/>
                <w:szCs w:val="18"/>
              </w:rPr>
              <w:t xml:space="preserve">/ Promotion </w:t>
            </w:r>
            <w:r w:rsidRPr="00D05BE6">
              <w:rPr>
                <w:b/>
                <w:szCs w:val="18"/>
              </w:rPr>
              <w:t>responsibilities</w:t>
            </w:r>
            <w:r w:rsidRPr="00D05BE6">
              <w:rPr>
                <w:szCs w:val="18"/>
              </w:rPr>
              <w:t xml:space="preserve">: </w:t>
            </w:r>
            <w:r w:rsidR="00FC5357" w:rsidRPr="00D05BE6">
              <w:rPr>
                <w:szCs w:val="18"/>
              </w:rPr>
              <w:t xml:space="preserve">Take a leading role </w:t>
            </w:r>
            <w:r w:rsidR="000A100D" w:rsidRPr="00D05BE6">
              <w:rPr>
                <w:szCs w:val="18"/>
              </w:rPr>
              <w:t xml:space="preserve">in the </w:t>
            </w:r>
            <w:r w:rsidR="0061418C">
              <w:rPr>
                <w:szCs w:val="18"/>
              </w:rPr>
              <w:t>appointment</w:t>
            </w:r>
            <w:r w:rsidR="005C5010">
              <w:rPr>
                <w:szCs w:val="18"/>
              </w:rPr>
              <w:t xml:space="preserve"> </w:t>
            </w:r>
            <w:r w:rsidR="003C4993">
              <w:rPr>
                <w:szCs w:val="18"/>
              </w:rPr>
              <w:t>and promotion</w:t>
            </w:r>
            <w:r w:rsidR="005C5010">
              <w:rPr>
                <w:szCs w:val="18"/>
              </w:rPr>
              <w:t xml:space="preserve"> </w:t>
            </w:r>
            <w:r w:rsidR="00FC5357" w:rsidRPr="00D05BE6">
              <w:rPr>
                <w:szCs w:val="18"/>
              </w:rPr>
              <w:t xml:space="preserve">of </w:t>
            </w:r>
            <w:r w:rsidR="000A100D" w:rsidRPr="00D05BE6">
              <w:rPr>
                <w:szCs w:val="18"/>
              </w:rPr>
              <w:t xml:space="preserve">all </w:t>
            </w:r>
            <w:r w:rsidR="0031309C">
              <w:rPr>
                <w:szCs w:val="18"/>
              </w:rPr>
              <w:t>Balanced</w:t>
            </w:r>
            <w:r w:rsidR="005C5010">
              <w:rPr>
                <w:szCs w:val="18"/>
              </w:rPr>
              <w:t xml:space="preserve"> </w:t>
            </w:r>
            <w:r w:rsidR="000A100D" w:rsidRPr="00D05BE6">
              <w:rPr>
                <w:szCs w:val="18"/>
              </w:rPr>
              <w:t>contract</w:t>
            </w:r>
            <w:r w:rsidR="0031309C">
              <w:rPr>
                <w:szCs w:val="18"/>
              </w:rPr>
              <w:t xml:space="preserve"> </w:t>
            </w:r>
            <w:r w:rsidR="002A4683">
              <w:rPr>
                <w:szCs w:val="18"/>
              </w:rPr>
              <w:t xml:space="preserve">Education, Research and Enterprise (ERE) posts and </w:t>
            </w:r>
            <w:r w:rsidR="0031309C">
              <w:rPr>
                <w:szCs w:val="18"/>
              </w:rPr>
              <w:t>Education</w:t>
            </w:r>
            <w:r w:rsidR="0031309C" w:rsidRPr="00D05BE6">
              <w:rPr>
                <w:szCs w:val="18"/>
              </w:rPr>
              <w:t xml:space="preserve">-focused </w:t>
            </w:r>
            <w:r w:rsidR="005C5010">
              <w:rPr>
                <w:szCs w:val="18"/>
              </w:rPr>
              <w:t xml:space="preserve">posts </w:t>
            </w:r>
            <w:r w:rsidR="0031309C">
              <w:rPr>
                <w:szCs w:val="18"/>
              </w:rPr>
              <w:t xml:space="preserve">in the </w:t>
            </w:r>
            <w:proofErr w:type="gramStart"/>
            <w:r w:rsidR="005C5010">
              <w:rPr>
                <w:szCs w:val="18"/>
              </w:rPr>
              <w:t>Faculty</w:t>
            </w:r>
            <w:proofErr w:type="gramEnd"/>
            <w:r w:rsidR="00AA7AE2" w:rsidRPr="00D05BE6">
              <w:rPr>
                <w:szCs w:val="18"/>
              </w:rPr>
              <w:t xml:space="preserve">, ensuring appointments are </w:t>
            </w:r>
            <w:r w:rsidR="001651D4" w:rsidRPr="00D05BE6">
              <w:rPr>
                <w:szCs w:val="18"/>
              </w:rPr>
              <w:t>aligned with Faculty and University strategy</w:t>
            </w:r>
            <w:r w:rsidR="00AA7AE2" w:rsidRPr="00D05BE6">
              <w:rPr>
                <w:szCs w:val="18"/>
              </w:rPr>
              <w:t>.</w:t>
            </w:r>
          </w:p>
          <w:p w14:paraId="118F25F1" w14:textId="232B6688" w:rsidR="00D05BE6" w:rsidRPr="00D05BE6" w:rsidRDefault="00D05BE6" w:rsidP="0029043C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D05BE6">
              <w:rPr>
                <w:b/>
                <w:szCs w:val="18"/>
              </w:rPr>
              <w:t xml:space="preserve">Staff and </w:t>
            </w:r>
            <w:r w:rsidR="008B260F">
              <w:rPr>
                <w:b/>
                <w:szCs w:val="18"/>
              </w:rPr>
              <w:t>S</w:t>
            </w:r>
            <w:r w:rsidRPr="00D05BE6">
              <w:rPr>
                <w:b/>
                <w:szCs w:val="18"/>
              </w:rPr>
              <w:t xml:space="preserve">tudent </w:t>
            </w:r>
            <w:r w:rsidR="008B260F">
              <w:rPr>
                <w:b/>
                <w:szCs w:val="18"/>
              </w:rPr>
              <w:t>D</w:t>
            </w:r>
            <w:r w:rsidRPr="00D05BE6">
              <w:rPr>
                <w:b/>
                <w:szCs w:val="18"/>
              </w:rPr>
              <w:t>evelopment responsibilities</w:t>
            </w:r>
            <w:r w:rsidRPr="00D05BE6">
              <w:rPr>
                <w:szCs w:val="18"/>
              </w:rPr>
              <w:t>: In collaboration with the VP</w:t>
            </w:r>
            <w:r w:rsidR="0061418C">
              <w:rPr>
                <w:szCs w:val="18"/>
              </w:rPr>
              <w:t xml:space="preserve">s, </w:t>
            </w:r>
            <w:r w:rsidRPr="00D05BE6">
              <w:rPr>
                <w:szCs w:val="18"/>
              </w:rPr>
              <w:t>AD</w:t>
            </w:r>
            <w:r w:rsidR="0061418C">
              <w:rPr>
                <w:szCs w:val="18"/>
              </w:rPr>
              <w:t>(</w:t>
            </w:r>
            <w:r w:rsidRPr="00D05BE6">
              <w:rPr>
                <w:szCs w:val="18"/>
              </w:rPr>
              <w:t>R/</w:t>
            </w:r>
            <w:proofErr w:type="gramStart"/>
            <w:r w:rsidRPr="00D05BE6">
              <w:rPr>
                <w:szCs w:val="18"/>
              </w:rPr>
              <w:t>E</w:t>
            </w:r>
            <w:r w:rsidR="0061418C">
              <w:rPr>
                <w:szCs w:val="18"/>
              </w:rPr>
              <w:t>)</w:t>
            </w:r>
            <w:r w:rsidRPr="00D05BE6">
              <w:rPr>
                <w:szCs w:val="18"/>
              </w:rPr>
              <w:t>s</w:t>
            </w:r>
            <w:proofErr w:type="gramEnd"/>
            <w:r w:rsidRPr="00D05BE6">
              <w:rPr>
                <w:szCs w:val="18"/>
              </w:rPr>
              <w:t xml:space="preserve">, </w:t>
            </w:r>
            <w:proofErr w:type="spellStart"/>
            <w:r w:rsidRPr="00D05BE6">
              <w:rPr>
                <w:szCs w:val="18"/>
              </w:rPr>
              <w:t>HoS</w:t>
            </w:r>
            <w:proofErr w:type="spellEnd"/>
            <w:r w:rsidR="00875852">
              <w:rPr>
                <w:szCs w:val="18"/>
              </w:rPr>
              <w:t>/</w:t>
            </w:r>
            <w:proofErr w:type="spellStart"/>
            <w:r w:rsidR="00875852">
              <w:rPr>
                <w:szCs w:val="18"/>
              </w:rPr>
              <w:t>DeputyHoS</w:t>
            </w:r>
            <w:r w:rsidR="0031309C">
              <w:rPr>
                <w:szCs w:val="18"/>
              </w:rPr>
              <w:t>s</w:t>
            </w:r>
            <w:proofErr w:type="spellEnd"/>
            <w:r w:rsidRPr="00D05BE6">
              <w:rPr>
                <w:szCs w:val="18"/>
              </w:rPr>
              <w:t xml:space="preserve">, </w:t>
            </w:r>
            <w:proofErr w:type="spellStart"/>
            <w:r w:rsidRPr="00D05BE6">
              <w:rPr>
                <w:szCs w:val="18"/>
              </w:rPr>
              <w:t>HoD</w:t>
            </w:r>
            <w:r w:rsidR="0031309C">
              <w:rPr>
                <w:szCs w:val="18"/>
              </w:rPr>
              <w:t>s</w:t>
            </w:r>
            <w:proofErr w:type="spellEnd"/>
            <w:r w:rsidRPr="00D05BE6">
              <w:rPr>
                <w:szCs w:val="18"/>
              </w:rPr>
              <w:t xml:space="preserve">, the Doctoral College and CHEP, </w:t>
            </w:r>
            <w:r w:rsidR="0031309C">
              <w:rPr>
                <w:szCs w:val="18"/>
              </w:rPr>
              <w:t>foster and maintain</w:t>
            </w:r>
            <w:r w:rsidR="0031309C" w:rsidRPr="00D05BE6">
              <w:rPr>
                <w:szCs w:val="18"/>
              </w:rPr>
              <w:t xml:space="preserve"> </w:t>
            </w:r>
            <w:r w:rsidRPr="00D05BE6">
              <w:rPr>
                <w:szCs w:val="18"/>
              </w:rPr>
              <w:t xml:space="preserve">an environment </w:t>
            </w:r>
            <w:r w:rsidR="0031309C">
              <w:rPr>
                <w:szCs w:val="18"/>
              </w:rPr>
              <w:t>in which the</w:t>
            </w:r>
            <w:r w:rsidRPr="00D05BE6">
              <w:rPr>
                <w:szCs w:val="18"/>
              </w:rPr>
              <w:t xml:space="preserve"> development </w:t>
            </w:r>
            <w:r w:rsidR="0031309C">
              <w:rPr>
                <w:szCs w:val="18"/>
              </w:rPr>
              <w:t xml:space="preserve">needs of staff </w:t>
            </w:r>
            <w:r w:rsidR="005C5010">
              <w:rPr>
                <w:szCs w:val="18"/>
              </w:rPr>
              <w:t>and students i</w:t>
            </w:r>
            <w:r w:rsidR="0031309C">
              <w:rPr>
                <w:szCs w:val="18"/>
              </w:rPr>
              <w:t xml:space="preserve">nvolved in education </w:t>
            </w:r>
            <w:r w:rsidR="000D7B82">
              <w:rPr>
                <w:szCs w:val="18"/>
              </w:rPr>
              <w:t xml:space="preserve">in the Faculty </w:t>
            </w:r>
            <w:r w:rsidR="0031309C">
              <w:rPr>
                <w:szCs w:val="18"/>
              </w:rPr>
              <w:t>are met.</w:t>
            </w:r>
          </w:p>
          <w:p w14:paraId="6A68964E" w14:textId="5BFE1EE0" w:rsidR="007D7BE9" w:rsidRDefault="00D05BE6" w:rsidP="0029043C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D05BE6">
              <w:rPr>
                <w:b/>
                <w:szCs w:val="18"/>
              </w:rPr>
              <w:t xml:space="preserve">Staff </w:t>
            </w:r>
            <w:r w:rsidR="008B260F">
              <w:rPr>
                <w:b/>
                <w:szCs w:val="18"/>
              </w:rPr>
              <w:t>P</w:t>
            </w:r>
            <w:r w:rsidRPr="00D05BE6">
              <w:rPr>
                <w:b/>
                <w:szCs w:val="18"/>
              </w:rPr>
              <w:t>erformance responsibilities:</w:t>
            </w:r>
            <w:r w:rsidRPr="00D05BE6">
              <w:rPr>
                <w:szCs w:val="18"/>
              </w:rPr>
              <w:t xml:space="preserve"> In conjunction with the</w:t>
            </w:r>
            <w:r w:rsidR="005C5010">
              <w:rPr>
                <w:szCs w:val="18"/>
              </w:rPr>
              <w:t xml:space="preserve"> VP</w:t>
            </w:r>
            <w:r w:rsidR="000D7B82">
              <w:rPr>
                <w:szCs w:val="18"/>
              </w:rPr>
              <w:t xml:space="preserve">(E), the Dean and other senior colleagues in the </w:t>
            </w:r>
            <w:proofErr w:type="gramStart"/>
            <w:r w:rsidR="000D7B82">
              <w:rPr>
                <w:szCs w:val="18"/>
              </w:rPr>
              <w:t>Faculty</w:t>
            </w:r>
            <w:proofErr w:type="gramEnd"/>
            <w:r w:rsidR="000D7B82">
              <w:rPr>
                <w:szCs w:val="18"/>
              </w:rPr>
              <w:t xml:space="preserve">, </w:t>
            </w:r>
            <w:r w:rsidRPr="00D05BE6">
              <w:rPr>
                <w:szCs w:val="18"/>
              </w:rPr>
              <w:t>and in line with University</w:t>
            </w:r>
            <w:r w:rsidR="005C5010">
              <w:rPr>
                <w:szCs w:val="18"/>
              </w:rPr>
              <w:t xml:space="preserve"> and </w:t>
            </w:r>
            <w:r w:rsidRPr="00D05BE6">
              <w:rPr>
                <w:szCs w:val="18"/>
              </w:rPr>
              <w:t>Faculty</w:t>
            </w:r>
            <w:r w:rsidR="005C5010">
              <w:rPr>
                <w:szCs w:val="18"/>
              </w:rPr>
              <w:t xml:space="preserve"> </w:t>
            </w:r>
            <w:r w:rsidRPr="00D05BE6">
              <w:rPr>
                <w:szCs w:val="18"/>
              </w:rPr>
              <w:t xml:space="preserve">requirements and goals, ensure implementation of a performance framework that utilises </w:t>
            </w:r>
            <w:r w:rsidR="005C5010">
              <w:rPr>
                <w:szCs w:val="18"/>
              </w:rPr>
              <w:t>education</w:t>
            </w:r>
            <w:r w:rsidR="005C5010" w:rsidRPr="00D05BE6">
              <w:rPr>
                <w:szCs w:val="18"/>
              </w:rPr>
              <w:t xml:space="preserve"> </w:t>
            </w:r>
            <w:r w:rsidRPr="00D05BE6">
              <w:rPr>
                <w:szCs w:val="18"/>
              </w:rPr>
              <w:t>performance metrics</w:t>
            </w:r>
            <w:r w:rsidR="000D7B82">
              <w:rPr>
                <w:szCs w:val="18"/>
              </w:rPr>
              <w:t>,</w:t>
            </w:r>
            <w:r w:rsidR="005C5010">
              <w:rPr>
                <w:szCs w:val="18"/>
              </w:rPr>
              <w:t xml:space="preserve"> </w:t>
            </w:r>
            <w:r w:rsidRPr="00D05BE6">
              <w:rPr>
                <w:szCs w:val="18"/>
              </w:rPr>
              <w:t xml:space="preserve">and oversee monitoring of objectives and metrics at individual staff appraisal </w:t>
            </w:r>
            <w:proofErr w:type="spellStart"/>
            <w:r w:rsidRPr="00D05BE6">
              <w:rPr>
                <w:szCs w:val="18"/>
              </w:rPr>
              <w:t>e.g</w:t>
            </w:r>
            <w:proofErr w:type="spellEnd"/>
            <w:r w:rsidRPr="00D05BE6">
              <w:rPr>
                <w:szCs w:val="18"/>
              </w:rPr>
              <w:t xml:space="preserve"> </w:t>
            </w:r>
            <w:r w:rsidR="005C5010">
              <w:rPr>
                <w:szCs w:val="18"/>
              </w:rPr>
              <w:t xml:space="preserve">through involvement in </w:t>
            </w:r>
            <w:r w:rsidRPr="00D05BE6">
              <w:rPr>
                <w:szCs w:val="18"/>
              </w:rPr>
              <w:t>appraisal moderation</w:t>
            </w:r>
            <w:r w:rsidR="005C5010">
              <w:rPr>
                <w:szCs w:val="18"/>
              </w:rPr>
              <w:t>.</w:t>
            </w:r>
          </w:p>
          <w:p w14:paraId="2E9E0CC9" w14:textId="77777777" w:rsidR="0029043C" w:rsidRPr="009E1082" w:rsidRDefault="0029043C" w:rsidP="0029043C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9E1082">
              <w:rPr>
                <w:b/>
                <w:szCs w:val="18"/>
              </w:rPr>
              <w:t xml:space="preserve">Staff engagement: </w:t>
            </w:r>
            <w:r w:rsidRPr="009E1082">
              <w:rPr>
                <w:szCs w:val="18"/>
              </w:rPr>
              <w:t>Support the strategy that is in place for staff engagement to ensure that staff contribute to and engage with the School, Faculty and University strategy including organizational change.</w:t>
            </w:r>
          </w:p>
          <w:p w14:paraId="7C5DB1F4" w14:textId="4D154EFB" w:rsidR="0029043C" w:rsidRDefault="0029043C" w:rsidP="0029043C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9E1082">
              <w:rPr>
                <w:b/>
                <w:szCs w:val="18"/>
              </w:rPr>
              <w:t>Student Experience</w:t>
            </w:r>
            <w:r w:rsidRPr="009E1082">
              <w:rPr>
                <w:szCs w:val="18"/>
              </w:rPr>
              <w:t>: Ensuring as a senior member of the faculty that you lead the way in delivering an exceptional Student experience</w:t>
            </w:r>
            <w:r>
              <w:rPr>
                <w:szCs w:val="18"/>
              </w:rPr>
              <w:t>.</w:t>
            </w:r>
          </w:p>
          <w:p w14:paraId="330E39AA" w14:textId="357A196B" w:rsidR="007D7BE9" w:rsidRPr="007D7BE9" w:rsidRDefault="007D7BE9" w:rsidP="0029043C">
            <w:pPr>
              <w:pStyle w:val="ListParagraph"/>
              <w:numPr>
                <w:ilvl w:val="0"/>
                <w:numId w:val="23"/>
              </w:numPr>
              <w:rPr>
                <w:szCs w:val="18"/>
              </w:rPr>
            </w:pPr>
            <w:r w:rsidRPr="00FD5BD8">
              <w:rPr>
                <w:b/>
                <w:szCs w:val="18"/>
              </w:rPr>
              <w:t>Embedding Collegiality:</w:t>
            </w:r>
            <w:r w:rsidRPr="007D7BE9">
              <w:rPr>
                <w:szCs w:val="18"/>
              </w:rPr>
              <w:t xml:space="preserve"> </w:t>
            </w:r>
            <w:r w:rsidR="005A00A8">
              <w:rPr>
                <w:szCs w:val="18"/>
              </w:rPr>
              <w:t xml:space="preserve">Role model </w:t>
            </w:r>
            <w:r w:rsidRPr="007D7BE9">
              <w:rPr>
                <w:szCs w:val="18"/>
              </w:rPr>
              <w:t xml:space="preserve">the </w:t>
            </w:r>
            <w:r w:rsidR="0061418C">
              <w:rPr>
                <w:szCs w:val="18"/>
              </w:rPr>
              <w:t>‘</w:t>
            </w:r>
            <w:r w:rsidRPr="007D7BE9">
              <w:rPr>
                <w:szCs w:val="18"/>
              </w:rPr>
              <w:t>Southampton Behaviours</w:t>
            </w:r>
            <w:r w:rsidR="0061418C">
              <w:rPr>
                <w:szCs w:val="18"/>
              </w:rPr>
              <w:t>’</w:t>
            </w:r>
            <w:r w:rsidRPr="007D7BE9">
              <w:rPr>
                <w:szCs w:val="18"/>
              </w:rPr>
              <w:t xml:space="preserve"> and work with </w:t>
            </w:r>
            <w:r w:rsidR="000D7B82">
              <w:rPr>
                <w:szCs w:val="18"/>
              </w:rPr>
              <w:t>colleagues</w:t>
            </w:r>
            <w:r w:rsidRPr="007D7BE9">
              <w:rPr>
                <w:szCs w:val="18"/>
              </w:rPr>
              <w:t xml:space="preserve"> to embed them as a way of working within the </w:t>
            </w:r>
            <w:proofErr w:type="gramStart"/>
            <w:r w:rsidR="000D7B82">
              <w:rPr>
                <w:szCs w:val="18"/>
              </w:rPr>
              <w:t>Faculty</w:t>
            </w:r>
            <w:proofErr w:type="gramEnd"/>
            <w:r w:rsidRPr="007D7BE9"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43C70A05" w14:textId="56D9BBEB" w:rsidR="000A100D" w:rsidRDefault="00D05BE6" w:rsidP="00DF2B3F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  <w:r w:rsidR="005C3ADA">
              <w:rPr>
                <w:szCs w:val="18"/>
              </w:rPr>
              <w:t>5%</w:t>
            </w:r>
          </w:p>
        </w:tc>
      </w:tr>
      <w:tr w:rsidR="00DF2B3F" w:rsidRPr="00293D3C" w14:paraId="13255D88" w14:textId="77777777" w:rsidTr="005B39E5">
        <w:trPr>
          <w:cantSplit/>
        </w:trPr>
        <w:tc>
          <w:tcPr>
            <w:tcW w:w="601" w:type="dxa"/>
            <w:tcBorders>
              <w:right w:val="nil"/>
            </w:tcBorders>
          </w:tcPr>
          <w:p w14:paraId="4B20D91F" w14:textId="77777777" w:rsidR="00DF2B3F" w:rsidRPr="00293D3C" w:rsidRDefault="00DF2B3F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2FC91E26" w14:textId="66C710D3" w:rsidR="00E63114" w:rsidRPr="00293D3C" w:rsidRDefault="00C65515" w:rsidP="00DC50CD">
            <w:pPr>
              <w:rPr>
                <w:szCs w:val="18"/>
              </w:rPr>
            </w:pPr>
            <w:r>
              <w:rPr>
                <w:szCs w:val="18"/>
              </w:rPr>
              <w:t>D</w:t>
            </w:r>
            <w:r w:rsidR="00DF2B3F" w:rsidRPr="00DF2B3F">
              <w:rPr>
                <w:szCs w:val="18"/>
              </w:rPr>
              <w:t>eputise for the Dean as required</w:t>
            </w:r>
            <w:r w:rsidR="001651D4">
              <w:rPr>
                <w:szCs w:val="18"/>
              </w:rPr>
              <w:t xml:space="preserve"> and take on </w:t>
            </w:r>
            <w:r w:rsidR="00E63114" w:rsidRPr="00DF2B3F">
              <w:rPr>
                <w:szCs w:val="18"/>
              </w:rPr>
              <w:t>other duties that fall within the scope of the post as allocated by the Dean or V</w:t>
            </w:r>
            <w:r w:rsidR="00E63114">
              <w:rPr>
                <w:szCs w:val="18"/>
              </w:rPr>
              <w:t>ice-President (</w:t>
            </w:r>
            <w:r w:rsidR="00DC50CD">
              <w:rPr>
                <w:szCs w:val="18"/>
              </w:rPr>
              <w:t>Education</w:t>
            </w:r>
            <w:r w:rsidR="00E63114" w:rsidRPr="00DF2B3F">
              <w:rPr>
                <w:szCs w:val="18"/>
              </w:rPr>
              <w:t>) following consultation with the post holder.</w:t>
            </w:r>
          </w:p>
        </w:tc>
        <w:tc>
          <w:tcPr>
            <w:tcW w:w="1018" w:type="dxa"/>
          </w:tcPr>
          <w:p w14:paraId="51966ECC" w14:textId="59EF17BC" w:rsidR="00DF2B3F" w:rsidRPr="00293D3C" w:rsidRDefault="00EF40C2" w:rsidP="00E43297">
            <w:pPr>
              <w:rPr>
                <w:szCs w:val="18"/>
              </w:rPr>
            </w:pPr>
            <w:r>
              <w:rPr>
                <w:szCs w:val="18"/>
              </w:rPr>
              <w:t>5%</w:t>
            </w:r>
          </w:p>
        </w:tc>
      </w:tr>
    </w:tbl>
    <w:p w14:paraId="1B81E095" w14:textId="34D5664C" w:rsidR="0012209D" w:rsidRDefault="0012209D" w:rsidP="0012209D">
      <w:pPr>
        <w:rPr>
          <w:szCs w:val="18"/>
        </w:rPr>
      </w:pPr>
    </w:p>
    <w:p w14:paraId="79C251D0" w14:textId="0AA377ED" w:rsidR="00A50B5C" w:rsidRDefault="00A50B5C" w:rsidP="0012209D">
      <w:pPr>
        <w:rPr>
          <w:szCs w:val="18"/>
        </w:rPr>
      </w:pPr>
    </w:p>
    <w:p w14:paraId="3C3C7E0A" w14:textId="5F3C57FE" w:rsidR="00A50B5C" w:rsidRDefault="00A50B5C" w:rsidP="0012209D">
      <w:pPr>
        <w:rPr>
          <w:szCs w:val="18"/>
        </w:rPr>
      </w:pPr>
    </w:p>
    <w:p w14:paraId="2908A050" w14:textId="77D67899" w:rsidR="00A50B5C" w:rsidRDefault="00A50B5C" w:rsidP="0012209D">
      <w:pPr>
        <w:rPr>
          <w:szCs w:val="18"/>
        </w:rPr>
      </w:pPr>
    </w:p>
    <w:p w14:paraId="79DD7BBE" w14:textId="77777777" w:rsidR="00A50B5C" w:rsidRPr="00293D3C" w:rsidRDefault="00A50B5C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93D3C" w14:paraId="47208162" w14:textId="77777777" w:rsidTr="00E4329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6091741E" w14:textId="77777777" w:rsidR="0012209D" w:rsidRPr="00293D3C" w:rsidRDefault="0012209D" w:rsidP="00D3349E">
            <w:pPr>
              <w:rPr>
                <w:szCs w:val="18"/>
              </w:rPr>
            </w:pPr>
            <w:r w:rsidRPr="00293D3C">
              <w:rPr>
                <w:szCs w:val="18"/>
              </w:rPr>
              <w:t>Inter</w:t>
            </w:r>
            <w:r w:rsidR="00D3349E" w:rsidRPr="00293D3C">
              <w:rPr>
                <w:szCs w:val="18"/>
              </w:rPr>
              <w:t>nal and external relationships</w:t>
            </w:r>
          </w:p>
        </w:tc>
      </w:tr>
      <w:tr w:rsidR="0012209D" w:rsidRPr="00293D3C" w14:paraId="6125FA6F" w14:textId="77777777" w:rsidTr="00C021EC">
        <w:trPr>
          <w:trHeight w:val="2043"/>
        </w:trPr>
        <w:tc>
          <w:tcPr>
            <w:tcW w:w="10137" w:type="dxa"/>
          </w:tcPr>
          <w:p w14:paraId="36B683E0" w14:textId="77777777" w:rsidR="00DB18D4" w:rsidRDefault="00DB18D4" w:rsidP="00DB18D4">
            <w:pPr>
              <w:rPr>
                <w:szCs w:val="18"/>
              </w:rPr>
            </w:pPr>
            <w:r>
              <w:rPr>
                <w:szCs w:val="18"/>
              </w:rPr>
              <w:t xml:space="preserve">The Dean of Faculty; Vice-President(s), Associate Vice-President(s); members of the Vice-Chancellors Office. </w:t>
            </w:r>
          </w:p>
          <w:p w14:paraId="12EDEB37" w14:textId="77777777" w:rsidR="00DB18D4" w:rsidRDefault="00DB18D4" w:rsidP="00DB18D4">
            <w:pPr>
              <w:rPr>
                <w:szCs w:val="18"/>
              </w:rPr>
            </w:pPr>
            <w:r>
              <w:rPr>
                <w:szCs w:val="18"/>
              </w:rPr>
              <w:t xml:space="preserve">University and Faculty academic staff; other Associate Deans and Officers of the University (Heads of Schools/Deputy Heads of School Research/Heads of Departments/Deputy Heads </w:t>
            </w:r>
            <w:r>
              <w:rPr>
                <w:i/>
                <w:szCs w:val="18"/>
              </w:rPr>
              <w:t>etc.).</w:t>
            </w:r>
          </w:p>
          <w:p w14:paraId="4C65515B" w14:textId="77777777" w:rsidR="00DB18D4" w:rsidRDefault="00DB18D4" w:rsidP="00DB18D4">
            <w:pPr>
              <w:rPr>
                <w:szCs w:val="18"/>
              </w:rPr>
            </w:pPr>
            <w:r>
              <w:rPr>
                <w:szCs w:val="18"/>
              </w:rPr>
              <w:t>Faculty Operating Boards; Associate Directors of Faculty Operations; Head of Faculty Finance; HR Business Partners; Faculty Academic Registrar; Faculty Operating Service staff.</w:t>
            </w:r>
          </w:p>
          <w:p w14:paraId="65EEE89F" w14:textId="77777777" w:rsidR="00DB18D4" w:rsidRDefault="00DB18D4" w:rsidP="00DB18D4">
            <w:pPr>
              <w:rPr>
                <w:szCs w:val="18"/>
              </w:rPr>
            </w:pPr>
            <w:r>
              <w:rPr>
                <w:szCs w:val="18"/>
              </w:rPr>
              <w:t>Director of the Doctoral College, Faculty Directors of Graduate Schools.</w:t>
            </w:r>
          </w:p>
          <w:p w14:paraId="195F106E" w14:textId="769CC358" w:rsidR="00DB18D4" w:rsidRDefault="00DB18D4" w:rsidP="00DB18D4">
            <w:pPr>
              <w:rPr>
                <w:szCs w:val="18"/>
              </w:rPr>
            </w:pPr>
            <w:r>
              <w:rPr>
                <w:szCs w:val="18"/>
              </w:rPr>
              <w:t xml:space="preserve">Chief Operating Officer, Executive </w:t>
            </w:r>
            <w:proofErr w:type="gramStart"/>
            <w:r>
              <w:rPr>
                <w:szCs w:val="18"/>
              </w:rPr>
              <w:t>Directors</w:t>
            </w:r>
            <w:proofErr w:type="gramEnd"/>
            <w:r>
              <w:rPr>
                <w:szCs w:val="18"/>
              </w:rPr>
              <w:t xml:space="preserve"> and Directors of relevant Professional Services, particularly Student Experience; Student Services, Student and Academic Administration, Library and the Arts, Global Recruitment and Admissions and Widening Participation &amp; Social Mobility.</w:t>
            </w:r>
          </w:p>
          <w:p w14:paraId="6F05F851" w14:textId="77777777" w:rsidR="00DB18D4" w:rsidRDefault="00DB18D4" w:rsidP="00DB18D4">
            <w:pPr>
              <w:rPr>
                <w:szCs w:val="18"/>
              </w:rPr>
            </w:pPr>
            <w:r>
              <w:rPr>
                <w:szCs w:val="18"/>
              </w:rPr>
              <w:t>Director of the Centre for Higher Education Practice.</w:t>
            </w:r>
          </w:p>
          <w:p w14:paraId="39ED56C1" w14:textId="2D141F27" w:rsidR="009E1899" w:rsidRPr="00293D3C" w:rsidRDefault="00DB18D4" w:rsidP="00AF1DD6">
            <w:pPr>
              <w:rPr>
                <w:szCs w:val="18"/>
              </w:rPr>
            </w:pPr>
            <w:r>
              <w:rPr>
                <w:szCs w:val="18"/>
              </w:rPr>
              <w:t xml:space="preserve">Local, </w:t>
            </w:r>
            <w:proofErr w:type="gramStart"/>
            <w:r>
              <w:rPr>
                <w:szCs w:val="18"/>
              </w:rPr>
              <w:t>national</w:t>
            </w:r>
            <w:proofErr w:type="gramEnd"/>
            <w:r>
              <w:rPr>
                <w:szCs w:val="18"/>
              </w:rPr>
              <w:t xml:space="preserve"> and international public and private sector regulatory bodies and public organisations. </w:t>
            </w:r>
          </w:p>
        </w:tc>
      </w:tr>
    </w:tbl>
    <w:p w14:paraId="090569BE" w14:textId="77777777" w:rsidR="0012209D" w:rsidRDefault="0012209D" w:rsidP="0012209D"/>
    <w:p w14:paraId="4AA9DD0A" w14:textId="0704C7D1" w:rsidR="00013C10" w:rsidRPr="00013C10" w:rsidRDefault="00C021EC" w:rsidP="00C021EC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PE</w:t>
      </w:r>
      <w:r w:rsidR="00013C10" w:rsidRPr="00013C10">
        <w:rPr>
          <w:b/>
          <w:bCs/>
          <w:sz w:val="22"/>
          <w:szCs w:val="24"/>
        </w:rPr>
        <w:t>RSON SPECIFICATION</w:t>
      </w:r>
    </w:p>
    <w:p w14:paraId="71919CC6" w14:textId="77777777" w:rsidR="00013C10" w:rsidRDefault="00013C10" w:rsidP="0012209D"/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1614"/>
        <w:gridCol w:w="4760"/>
        <w:gridCol w:w="3260"/>
      </w:tblGrid>
      <w:tr w:rsidR="00D432C4" w14:paraId="12416895" w14:textId="77777777" w:rsidTr="00D432C4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A385774" w14:textId="77777777" w:rsidR="00D432C4" w:rsidRPr="00013C10" w:rsidRDefault="00D432C4" w:rsidP="00E4329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760" w:type="dxa"/>
            <w:shd w:val="clear" w:color="auto" w:fill="D9D9D9" w:themeFill="background1" w:themeFillShade="D9"/>
            <w:vAlign w:val="center"/>
          </w:tcPr>
          <w:p w14:paraId="5E800356" w14:textId="77777777" w:rsidR="00D432C4" w:rsidRPr="00013C10" w:rsidRDefault="00D432C4" w:rsidP="00E4329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0CE05E" w14:textId="77777777" w:rsidR="00D432C4" w:rsidRPr="00013C10" w:rsidRDefault="00D432C4" w:rsidP="00E4329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</w:tr>
      <w:tr w:rsidR="00D432C4" w14:paraId="57BF0700" w14:textId="77777777" w:rsidTr="00D432C4">
        <w:tc>
          <w:tcPr>
            <w:tcW w:w="1614" w:type="dxa"/>
          </w:tcPr>
          <w:p w14:paraId="7255E901" w14:textId="77777777" w:rsidR="00D432C4" w:rsidRPr="005E4344" w:rsidRDefault="00D432C4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Qualifications, </w:t>
            </w:r>
            <w:proofErr w:type="gramStart"/>
            <w:r w:rsidRPr="005E4344">
              <w:rPr>
                <w:szCs w:val="18"/>
              </w:rPr>
              <w:t>knowledge</w:t>
            </w:r>
            <w:proofErr w:type="gramEnd"/>
            <w:r w:rsidRPr="005E4344">
              <w:rPr>
                <w:szCs w:val="18"/>
              </w:rPr>
              <w:t xml:space="preserve"> and experience</w:t>
            </w:r>
          </w:p>
        </w:tc>
        <w:tc>
          <w:tcPr>
            <w:tcW w:w="4760" w:type="dxa"/>
          </w:tcPr>
          <w:p w14:paraId="64D8B323" w14:textId="77777777" w:rsidR="00D432C4" w:rsidRPr="005E4344" w:rsidRDefault="00D432C4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 xml:space="preserve">PhD or equivalent professional qualifications and experience in a subject area relevant to the </w:t>
            </w:r>
            <w:proofErr w:type="gramStart"/>
            <w:r w:rsidRPr="005E4344">
              <w:rPr>
                <w:szCs w:val="18"/>
              </w:rPr>
              <w:t>Faculty</w:t>
            </w:r>
            <w:proofErr w:type="gramEnd"/>
          </w:p>
          <w:p w14:paraId="685D3595" w14:textId="67F0F7FA" w:rsidR="00D432C4" w:rsidRDefault="00D432C4" w:rsidP="00E4329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 xml:space="preserve">Well-established </w:t>
            </w:r>
            <w:r>
              <w:rPr>
                <w:szCs w:val="18"/>
              </w:rPr>
              <w:t xml:space="preserve">national </w:t>
            </w:r>
            <w:r w:rsidRPr="005E4344">
              <w:rPr>
                <w:szCs w:val="18"/>
              </w:rPr>
              <w:t xml:space="preserve">reputation in a subject area relevant to the </w:t>
            </w:r>
            <w:proofErr w:type="gramStart"/>
            <w:r w:rsidRPr="005E4344">
              <w:rPr>
                <w:szCs w:val="18"/>
              </w:rPr>
              <w:t>Faculty</w:t>
            </w:r>
            <w:proofErr w:type="gramEnd"/>
          </w:p>
          <w:p w14:paraId="1453E4FD" w14:textId="1176679A" w:rsidR="00D432C4" w:rsidRPr="005E4344" w:rsidRDefault="00D432C4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Significant track record of </w:t>
            </w:r>
            <w:r>
              <w:rPr>
                <w:szCs w:val="18"/>
              </w:rPr>
              <w:t>education</w:t>
            </w:r>
            <w:r w:rsidRPr="005E4344">
              <w:rPr>
                <w:szCs w:val="18"/>
              </w:rPr>
              <w:t xml:space="preserve"> leadership within a subject area relevant to the </w:t>
            </w:r>
            <w:proofErr w:type="gramStart"/>
            <w:r w:rsidRPr="005E4344">
              <w:rPr>
                <w:szCs w:val="18"/>
              </w:rPr>
              <w:t>Faculty</w:t>
            </w:r>
            <w:proofErr w:type="gramEnd"/>
          </w:p>
          <w:p w14:paraId="51605BF4" w14:textId="5DB9A284" w:rsidR="00D432C4" w:rsidRDefault="00D432C4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>Knowledge and awareness of sector strategies and developments</w:t>
            </w:r>
            <w:r>
              <w:rPr>
                <w:szCs w:val="18"/>
              </w:rPr>
              <w:t>, of government policy,</w:t>
            </w:r>
            <w:r w:rsidRPr="005E4344">
              <w:rPr>
                <w:szCs w:val="18"/>
              </w:rPr>
              <w:t xml:space="preserve"> and the strategies of the funding</w:t>
            </w:r>
            <w:r>
              <w:rPr>
                <w:szCs w:val="18"/>
              </w:rPr>
              <w:t xml:space="preserve"> / regulatory</w:t>
            </w:r>
            <w:r w:rsidRPr="005E4344">
              <w:rPr>
                <w:szCs w:val="18"/>
              </w:rPr>
              <w:t xml:space="preserve"> bodies </w:t>
            </w:r>
          </w:p>
          <w:p w14:paraId="359C77AC" w14:textId="3DA7337A" w:rsidR="00C55A7E" w:rsidRDefault="0023514B" w:rsidP="004A79B5">
            <w:pPr>
              <w:rPr>
                <w:szCs w:val="18"/>
              </w:rPr>
            </w:pPr>
            <w:r w:rsidRPr="00BC28A7">
              <w:rPr>
                <w:szCs w:val="18"/>
              </w:rPr>
              <w:t>Knowledge of the Arts and Humanities in academia and industry, previous experience in the sector and of engaging with national debates</w:t>
            </w:r>
          </w:p>
          <w:p w14:paraId="176ADE47" w14:textId="77777777" w:rsidR="00C55A7E" w:rsidRPr="005E4344" w:rsidRDefault="00C55A7E" w:rsidP="004A79B5">
            <w:pPr>
              <w:rPr>
                <w:szCs w:val="18"/>
              </w:rPr>
            </w:pPr>
          </w:p>
          <w:p w14:paraId="04B909B4" w14:textId="0A458267" w:rsidR="00D432C4" w:rsidRPr="005E4344" w:rsidRDefault="00D432C4" w:rsidP="00DC50CD">
            <w:pPr>
              <w:overflowPunct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3260" w:type="dxa"/>
          </w:tcPr>
          <w:p w14:paraId="3EDC02DF" w14:textId="77777777" w:rsidR="00D432C4" w:rsidRPr="005E4344" w:rsidRDefault="00D432C4" w:rsidP="00D432C4">
            <w:pPr>
              <w:rPr>
                <w:rFonts w:cs="Arial"/>
                <w:szCs w:val="18"/>
              </w:rPr>
            </w:pPr>
            <w:r w:rsidRPr="005E4344">
              <w:rPr>
                <w:rFonts w:cs="Arial"/>
                <w:szCs w:val="18"/>
              </w:rPr>
              <w:t>Knowledge and awareness of the broad context of Higher Education and government policy in the UK the current and forthcoming challenges and opportunities it presents.</w:t>
            </w:r>
          </w:p>
          <w:p w14:paraId="65EF8D97" w14:textId="77777777" w:rsidR="00D432C4" w:rsidRPr="005E4344" w:rsidRDefault="00D432C4" w:rsidP="00083E47">
            <w:pPr>
              <w:rPr>
                <w:szCs w:val="18"/>
              </w:rPr>
            </w:pPr>
          </w:p>
        </w:tc>
      </w:tr>
      <w:tr w:rsidR="00D432C4" w14:paraId="631FD7D5" w14:textId="77777777" w:rsidTr="00D432C4">
        <w:tc>
          <w:tcPr>
            <w:tcW w:w="1614" w:type="dxa"/>
          </w:tcPr>
          <w:p w14:paraId="567C6CEE" w14:textId="77777777" w:rsidR="00D432C4" w:rsidRPr="005E4344" w:rsidRDefault="00D432C4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Planning and organising</w:t>
            </w:r>
          </w:p>
        </w:tc>
        <w:tc>
          <w:tcPr>
            <w:tcW w:w="4760" w:type="dxa"/>
          </w:tcPr>
          <w:p w14:paraId="091020E1" w14:textId="2AE5347D" w:rsidR="00D432C4" w:rsidRPr="005E4344" w:rsidRDefault="00D432C4" w:rsidP="003E5C3D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 xml:space="preserve">Proven ability to plan and shape the direction of an area of </w:t>
            </w:r>
            <w:r>
              <w:rPr>
                <w:szCs w:val="18"/>
              </w:rPr>
              <w:t xml:space="preserve">educational </w:t>
            </w:r>
            <w:r w:rsidRPr="005E4344">
              <w:rPr>
                <w:szCs w:val="18"/>
              </w:rPr>
              <w:t xml:space="preserve">activity with substantial impact </w:t>
            </w:r>
            <w:r>
              <w:rPr>
                <w:szCs w:val="18"/>
              </w:rPr>
              <w:t>on recruitment and/or quality and/or student progression and outcomes</w:t>
            </w:r>
          </w:p>
        </w:tc>
        <w:tc>
          <w:tcPr>
            <w:tcW w:w="3260" w:type="dxa"/>
          </w:tcPr>
          <w:p w14:paraId="4ACA01C6" w14:textId="77777777" w:rsidR="00D432C4" w:rsidRPr="005E4344" w:rsidRDefault="00D432C4" w:rsidP="0012209D">
            <w:pPr>
              <w:rPr>
                <w:szCs w:val="18"/>
              </w:rPr>
            </w:pPr>
          </w:p>
        </w:tc>
      </w:tr>
      <w:tr w:rsidR="00D432C4" w14:paraId="4EC1F5AE" w14:textId="77777777" w:rsidTr="00D432C4">
        <w:tc>
          <w:tcPr>
            <w:tcW w:w="1614" w:type="dxa"/>
          </w:tcPr>
          <w:p w14:paraId="57A7F220" w14:textId="77777777" w:rsidR="00D432C4" w:rsidRPr="005E4344" w:rsidRDefault="00D432C4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Problem solving and initiative</w:t>
            </w:r>
          </w:p>
        </w:tc>
        <w:tc>
          <w:tcPr>
            <w:tcW w:w="4760" w:type="dxa"/>
          </w:tcPr>
          <w:p w14:paraId="6100971B" w14:textId="3445D398" w:rsidR="00D432C4" w:rsidRPr="005E4344" w:rsidRDefault="00D432C4" w:rsidP="0012209D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to </w:t>
            </w:r>
            <w:r>
              <w:rPr>
                <w:szCs w:val="18"/>
              </w:rPr>
              <w:t xml:space="preserve">respond and adapt with agility to often </w:t>
            </w:r>
            <w:proofErr w:type="gramStart"/>
            <w:r>
              <w:rPr>
                <w:szCs w:val="18"/>
              </w:rPr>
              <w:t>rapidly-moving</w:t>
            </w:r>
            <w:proofErr w:type="gramEnd"/>
            <w:r>
              <w:rPr>
                <w:szCs w:val="18"/>
              </w:rPr>
              <w:t xml:space="preserve"> events and developments in both the internal and external contexts</w:t>
            </w:r>
          </w:p>
        </w:tc>
        <w:tc>
          <w:tcPr>
            <w:tcW w:w="3260" w:type="dxa"/>
          </w:tcPr>
          <w:p w14:paraId="6EB1CCB5" w14:textId="77777777" w:rsidR="00D432C4" w:rsidRPr="005E4344" w:rsidRDefault="00D432C4" w:rsidP="0012209D">
            <w:pPr>
              <w:rPr>
                <w:szCs w:val="18"/>
              </w:rPr>
            </w:pPr>
          </w:p>
        </w:tc>
      </w:tr>
      <w:tr w:rsidR="00D432C4" w14:paraId="625EF4FA" w14:textId="77777777" w:rsidTr="00D432C4">
        <w:tc>
          <w:tcPr>
            <w:tcW w:w="1614" w:type="dxa"/>
          </w:tcPr>
          <w:p w14:paraId="01FAFF5D" w14:textId="3DBE7CF8" w:rsidR="00D432C4" w:rsidRPr="005E4344" w:rsidRDefault="00D432C4" w:rsidP="00E804B0">
            <w:pPr>
              <w:rPr>
                <w:szCs w:val="18"/>
              </w:rPr>
            </w:pPr>
            <w:r w:rsidRPr="005E4344">
              <w:rPr>
                <w:szCs w:val="18"/>
              </w:rPr>
              <w:t>Management and teamwork</w:t>
            </w:r>
          </w:p>
        </w:tc>
        <w:tc>
          <w:tcPr>
            <w:tcW w:w="4760" w:type="dxa"/>
          </w:tcPr>
          <w:p w14:paraId="15233C86" w14:textId="1B3638BA" w:rsidR="00D432C4" w:rsidRPr="00BC28A7" w:rsidRDefault="00D432C4" w:rsidP="004A79B5">
            <w:pPr>
              <w:rPr>
                <w:szCs w:val="18"/>
              </w:rPr>
            </w:pPr>
            <w:r w:rsidRPr="00BC28A7">
              <w:rPr>
                <w:szCs w:val="18"/>
              </w:rPr>
              <w:t>Ability to work across</w:t>
            </w:r>
            <w:r w:rsidR="00534B76" w:rsidRPr="00BC28A7">
              <w:rPr>
                <w:szCs w:val="18"/>
              </w:rPr>
              <w:t>, and respect the differences between,</w:t>
            </w:r>
            <w:r w:rsidRPr="00BC28A7">
              <w:rPr>
                <w:szCs w:val="18"/>
              </w:rPr>
              <w:t xml:space="preserve"> multiple disciplines within the </w:t>
            </w:r>
            <w:proofErr w:type="gramStart"/>
            <w:r w:rsidRPr="00BC28A7">
              <w:rPr>
                <w:szCs w:val="18"/>
              </w:rPr>
              <w:t>Faculty</w:t>
            </w:r>
            <w:proofErr w:type="gramEnd"/>
          </w:p>
          <w:p w14:paraId="03D59AD5" w14:textId="77777777" w:rsidR="00D432C4" w:rsidRPr="00BC28A7" w:rsidRDefault="00D432C4" w:rsidP="00E4329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 xml:space="preserve">Ability to foster and develop good relationships between own Faculty and the rest of the university.  </w:t>
            </w:r>
          </w:p>
          <w:p w14:paraId="34A17FB2" w14:textId="77777777" w:rsidR="00D432C4" w:rsidRPr="00BC28A7" w:rsidRDefault="00D432C4" w:rsidP="00E4329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>Ability to work proactively with senior colleagues to develop cross-Faculty and cross-University cooperation and effectiveness</w:t>
            </w:r>
          </w:p>
          <w:p w14:paraId="32ACB0D9" w14:textId="27DE84F7" w:rsidR="00D432C4" w:rsidRPr="005E4344" w:rsidRDefault="00D432C4" w:rsidP="00E4329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>Ability to monitor and manage resources</w:t>
            </w:r>
            <w:r w:rsidR="00534B76" w:rsidRPr="00BC28A7">
              <w:rPr>
                <w:szCs w:val="18"/>
              </w:rPr>
              <w:t xml:space="preserve"> in regard to delivering the educational portfolio across the </w:t>
            </w:r>
            <w:proofErr w:type="gramStart"/>
            <w:r w:rsidR="00534B76" w:rsidRPr="00BC28A7">
              <w:rPr>
                <w:szCs w:val="18"/>
              </w:rPr>
              <w:t>Faculty</w:t>
            </w:r>
            <w:proofErr w:type="gramEnd"/>
          </w:p>
          <w:p w14:paraId="26093EDD" w14:textId="0CA228FC" w:rsidR="00D432C4" w:rsidRPr="005E4344" w:rsidRDefault="00D432C4" w:rsidP="0012209D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to shape a positive culture of management, leadership and engagement at all levels of the </w:t>
            </w:r>
            <w:proofErr w:type="gramStart"/>
            <w:r>
              <w:rPr>
                <w:szCs w:val="18"/>
              </w:rPr>
              <w:t>Faculty</w:t>
            </w:r>
            <w:proofErr w:type="gramEnd"/>
            <w:r w:rsidRPr="005E4344">
              <w:rPr>
                <w:szCs w:val="18"/>
              </w:rPr>
              <w:t xml:space="preserve"> through exceptional leadership and personal example</w:t>
            </w:r>
          </w:p>
          <w:p w14:paraId="4BBD6972" w14:textId="38AFD6BE" w:rsidR="00D432C4" w:rsidRPr="005E4344" w:rsidRDefault="00D432C4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Ability to </w:t>
            </w:r>
            <w:r>
              <w:rPr>
                <w:szCs w:val="18"/>
              </w:rPr>
              <w:t xml:space="preserve">contribute to </w:t>
            </w:r>
            <w:r w:rsidRPr="005E4344">
              <w:rPr>
                <w:szCs w:val="18"/>
              </w:rPr>
              <w:t>build</w:t>
            </w:r>
            <w:r>
              <w:rPr>
                <w:szCs w:val="18"/>
              </w:rPr>
              <w:t>ing</w:t>
            </w:r>
            <w:r w:rsidRPr="005E4344">
              <w:rPr>
                <w:szCs w:val="18"/>
              </w:rPr>
              <w:t xml:space="preserve">, </w:t>
            </w:r>
            <w:proofErr w:type="gramStart"/>
            <w:r w:rsidRPr="005E4344">
              <w:rPr>
                <w:szCs w:val="18"/>
              </w:rPr>
              <w:t>support</w:t>
            </w:r>
            <w:r>
              <w:rPr>
                <w:szCs w:val="18"/>
              </w:rPr>
              <w:t>ing</w:t>
            </w:r>
            <w:proofErr w:type="gramEnd"/>
            <w:r w:rsidRPr="005E4344">
              <w:rPr>
                <w:szCs w:val="18"/>
              </w:rPr>
              <w:t xml:space="preserve"> and maintain</w:t>
            </w:r>
            <w:r>
              <w:rPr>
                <w:szCs w:val="18"/>
              </w:rPr>
              <w:t>ing</w:t>
            </w:r>
            <w:r w:rsidRPr="005E4344">
              <w:rPr>
                <w:szCs w:val="18"/>
              </w:rPr>
              <w:t xml:space="preserve"> a high performing </w:t>
            </w:r>
            <w:r>
              <w:rPr>
                <w:szCs w:val="18"/>
              </w:rPr>
              <w:t xml:space="preserve">inclusive </w:t>
            </w:r>
            <w:r w:rsidRPr="005E4344">
              <w:rPr>
                <w:szCs w:val="18"/>
              </w:rPr>
              <w:lastRenderedPageBreak/>
              <w:t xml:space="preserve">management team and to support a structured </w:t>
            </w:r>
            <w:r>
              <w:rPr>
                <w:szCs w:val="18"/>
              </w:rPr>
              <w:t>approach to strategic planning.</w:t>
            </w:r>
          </w:p>
          <w:p w14:paraId="3C8306FE" w14:textId="77777777" w:rsidR="00D432C4" w:rsidRPr="005E4344" w:rsidRDefault="00D432C4" w:rsidP="004A79B5">
            <w:pPr>
              <w:rPr>
                <w:szCs w:val="18"/>
              </w:rPr>
            </w:pPr>
            <w:r w:rsidRPr="005E4344">
              <w:rPr>
                <w:szCs w:val="18"/>
              </w:rPr>
              <w:t xml:space="preserve">A proven track record of achieving performance targets and supporting others to </w:t>
            </w:r>
            <w:r>
              <w:rPr>
                <w:szCs w:val="18"/>
              </w:rPr>
              <w:t>meet their performance targets.</w:t>
            </w:r>
          </w:p>
        </w:tc>
        <w:tc>
          <w:tcPr>
            <w:tcW w:w="3260" w:type="dxa"/>
          </w:tcPr>
          <w:p w14:paraId="09B00A2E" w14:textId="2A6964C1" w:rsidR="00D432C4" w:rsidRPr="005E4344" w:rsidRDefault="00D71A12" w:rsidP="0012209D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C</w:t>
            </w:r>
            <w:r w:rsidRPr="005E4344">
              <w:rPr>
                <w:szCs w:val="18"/>
              </w:rPr>
              <w:t>onfidence and courage to take on challenges and to be accountable for any decisions/risks taken.</w:t>
            </w:r>
          </w:p>
        </w:tc>
      </w:tr>
      <w:tr w:rsidR="00D432C4" w14:paraId="0B5EDE0E" w14:textId="77777777" w:rsidTr="00D432C4">
        <w:tc>
          <w:tcPr>
            <w:tcW w:w="1614" w:type="dxa"/>
          </w:tcPr>
          <w:p w14:paraId="6FE91673" w14:textId="77777777" w:rsidR="00D432C4" w:rsidRPr="00BC28A7" w:rsidRDefault="00D432C4" w:rsidP="00E43297">
            <w:pPr>
              <w:rPr>
                <w:szCs w:val="18"/>
              </w:rPr>
            </w:pPr>
            <w:r w:rsidRPr="00BC28A7">
              <w:rPr>
                <w:szCs w:val="18"/>
              </w:rPr>
              <w:t>Communicating and influencing</w:t>
            </w:r>
          </w:p>
        </w:tc>
        <w:tc>
          <w:tcPr>
            <w:tcW w:w="4760" w:type="dxa"/>
          </w:tcPr>
          <w:p w14:paraId="5B683CC8" w14:textId="661F2D01" w:rsidR="00AD68F7" w:rsidRPr="00BC28A7" w:rsidRDefault="00AD68F7" w:rsidP="00E4329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 xml:space="preserve">People focussed and strong team ethic; build strong relationships and a culture of </w:t>
            </w:r>
            <w:r w:rsidR="00534B76" w:rsidRPr="00BC28A7">
              <w:rPr>
                <w:szCs w:val="18"/>
              </w:rPr>
              <w:t xml:space="preserve">collaboration and </w:t>
            </w:r>
            <w:r w:rsidRPr="00BC28A7">
              <w:rPr>
                <w:szCs w:val="18"/>
              </w:rPr>
              <w:t>teamwork, discussion and idea sharing</w:t>
            </w:r>
          </w:p>
          <w:p w14:paraId="76B52893" w14:textId="77777777" w:rsidR="00370DDB" w:rsidRDefault="00370DDB" w:rsidP="005E4344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Pr="00370DDB">
              <w:rPr>
                <w:szCs w:val="18"/>
              </w:rPr>
              <w:t>lear and direct communication skills, including listening skills, empathy, and plain speech, ability to explain policy / change and give rationale for decisions</w:t>
            </w:r>
          </w:p>
          <w:p w14:paraId="2646D47F" w14:textId="31C892D1" w:rsidR="00534B76" w:rsidRPr="00BC28A7" w:rsidRDefault="00D432C4" w:rsidP="005E4344">
            <w:pPr>
              <w:rPr>
                <w:szCs w:val="18"/>
              </w:rPr>
            </w:pPr>
            <w:r w:rsidRPr="00BC28A7">
              <w:rPr>
                <w:szCs w:val="18"/>
              </w:rPr>
              <w:t xml:space="preserve">Ability to influence, collaborate and interact effectively with a range of stakeholders including staff (at all levels), students and others. </w:t>
            </w:r>
          </w:p>
          <w:p w14:paraId="33FA48C1" w14:textId="4755A011" w:rsidR="00534B76" w:rsidRPr="00BC28A7" w:rsidRDefault="00534B76" w:rsidP="005E4344">
            <w:pPr>
              <w:rPr>
                <w:szCs w:val="18"/>
              </w:rPr>
            </w:pPr>
            <w:r w:rsidRPr="00BC28A7">
              <w:rPr>
                <w:szCs w:val="18"/>
              </w:rPr>
              <w:t xml:space="preserve">Ability to collaboratively create and articulate a vision for the educational direction of the </w:t>
            </w:r>
            <w:proofErr w:type="gramStart"/>
            <w:r w:rsidRPr="00BC28A7">
              <w:rPr>
                <w:szCs w:val="18"/>
              </w:rPr>
              <w:t>Faculty</w:t>
            </w:r>
            <w:proofErr w:type="gramEnd"/>
          </w:p>
          <w:p w14:paraId="1535E0FB" w14:textId="6190672A" w:rsidR="00D432C4" w:rsidRPr="00BC28A7" w:rsidRDefault="00D432C4" w:rsidP="00E4329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>Ability to provide expert guidance to colleagues in own team, other work areas and other institutions to develop understanding and resolve complex problems</w:t>
            </w:r>
          </w:p>
          <w:p w14:paraId="045899C8" w14:textId="35A99ED6" w:rsidR="00D432C4" w:rsidRPr="00BC28A7" w:rsidRDefault="00D432C4" w:rsidP="00E4329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>Ability to represent the Faculty / University on specific issues, as agreed with the Dean / VP(E).</w:t>
            </w:r>
          </w:p>
          <w:p w14:paraId="4A79D1AF" w14:textId="310324E4" w:rsidR="00D432C4" w:rsidRPr="00BC28A7" w:rsidRDefault="00D432C4" w:rsidP="005E4344">
            <w:pPr>
              <w:rPr>
                <w:szCs w:val="18"/>
              </w:rPr>
            </w:pPr>
            <w:r w:rsidRPr="00BC28A7">
              <w:rPr>
                <w:rFonts w:cs="Arial"/>
                <w:szCs w:val="18"/>
              </w:rPr>
              <w:t xml:space="preserve">Ability to cultivate strong networks and build links with the wider community and with business, </w:t>
            </w:r>
            <w:proofErr w:type="gramStart"/>
            <w:r w:rsidRPr="00BC28A7">
              <w:rPr>
                <w:rFonts w:cs="Arial"/>
                <w:szCs w:val="18"/>
              </w:rPr>
              <w:t>industry</w:t>
            </w:r>
            <w:proofErr w:type="gramEnd"/>
            <w:r w:rsidRPr="00BC28A7">
              <w:rPr>
                <w:rFonts w:cs="Arial"/>
                <w:szCs w:val="18"/>
              </w:rPr>
              <w:t xml:space="preserve"> and other </w:t>
            </w:r>
            <w:r w:rsidRPr="00BC28A7">
              <w:rPr>
                <w:szCs w:val="18"/>
              </w:rPr>
              <w:t>stakeholders</w:t>
            </w:r>
          </w:p>
          <w:p w14:paraId="1E96C2B9" w14:textId="60AB0B7A" w:rsidR="00D432C4" w:rsidRPr="00BC28A7" w:rsidRDefault="00D432C4" w:rsidP="009C6433">
            <w:pPr>
              <w:ind w:left="12" w:hanging="12"/>
              <w:rPr>
                <w:szCs w:val="18"/>
              </w:rPr>
            </w:pPr>
            <w:r w:rsidRPr="00BC28A7">
              <w:rPr>
                <w:rFonts w:cs="Arial"/>
                <w:szCs w:val="18"/>
              </w:rPr>
              <w:t>Ability to achieve results through persuasion and negotiation where no direct authority exists</w:t>
            </w:r>
          </w:p>
        </w:tc>
        <w:tc>
          <w:tcPr>
            <w:tcW w:w="3260" w:type="dxa"/>
          </w:tcPr>
          <w:p w14:paraId="18B8F958" w14:textId="77777777" w:rsidR="00D432C4" w:rsidRPr="005E4344" w:rsidRDefault="00D432C4" w:rsidP="0012209D">
            <w:pPr>
              <w:rPr>
                <w:szCs w:val="18"/>
              </w:rPr>
            </w:pPr>
          </w:p>
        </w:tc>
      </w:tr>
      <w:tr w:rsidR="00D432C4" w14:paraId="4DEDC280" w14:textId="77777777" w:rsidTr="00D432C4">
        <w:tc>
          <w:tcPr>
            <w:tcW w:w="1614" w:type="dxa"/>
          </w:tcPr>
          <w:p w14:paraId="51797782" w14:textId="77777777" w:rsidR="00D432C4" w:rsidRPr="005E4344" w:rsidRDefault="00D432C4" w:rsidP="00E804B0">
            <w:pPr>
              <w:rPr>
                <w:szCs w:val="18"/>
              </w:rPr>
            </w:pPr>
            <w:r w:rsidRPr="005E4344">
              <w:rPr>
                <w:szCs w:val="18"/>
              </w:rPr>
              <w:t>Other skills and behaviours</w:t>
            </w:r>
          </w:p>
        </w:tc>
        <w:tc>
          <w:tcPr>
            <w:tcW w:w="4760" w:type="dxa"/>
          </w:tcPr>
          <w:p w14:paraId="1491E296" w14:textId="20C39E97" w:rsidR="00C55A7E" w:rsidRDefault="00C55A7E" w:rsidP="00874F87">
            <w:pPr>
              <w:spacing w:after="90"/>
              <w:rPr>
                <w:szCs w:val="18"/>
              </w:rPr>
            </w:pPr>
            <w:r w:rsidRPr="00BC28A7">
              <w:rPr>
                <w:szCs w:val="18"/>
              </w:rPr>
              <w:t xml:space="preserve">Demonstrated track record of EDI across all </w:t>
            </w:r>
            <w:proofErr w:type="gramStart"/>
            <w:r w:rsidRPr="00BC28A7">
              <w:rPr>
                <w:szCs w:val="18"/>
              </w:rPr>
              <w:t>aspects;</w:t>
            </w:r>
            <w:proofErr w:type="gramEnd"/>
            <w:r w:rsidRPr="00BC28A7">
              <w:rPr>
                <w:szCs w:val="18"/>
              </w:rPr>
              <w:t xml:space="preserve"> delivering and attention to the EDI agenda, in terms of both student cohort (education delivery &amp; strategy) and staff (working conditions and cultures)</w:t>
            </w:r>
            <w:r w:rsidRPr="00BC28A7">
              <w:rPr>
                <w:rFonts w:ascii="Arial" w:hAnsi="Arial" w:cs="Arial"/>
                <w:szCs w:val="18"/>
              </w:rPr>
              <w:t>​</w:t>
            </w:r>
          </w:p>
          <w:p w14:paraId="701C81AC" w14:textId="31047F3C" w:rsidR="00D432C4" w:rsidRPr="005E4344" w:rsidRDefault="00D432C4" w:rsidP="00874F87">
            <w:pPr>
              <w:spacing w:after="90"/>
              <w:rPr>
                <w:szCs w:val="18"/>
              </w:rPr>
            </w:pPr>
            <w:r w:rsidRPr="005E4344">
              <w:rPr>
                <w:szCs w:val="18"/>
              </w:rPr>
              <w:t>Compliance with relevant Health &amp; Safety issues</w:t>
            </w:r>
            <w:r>
              <w:rPr>
                <w:szCs w:val="18"/>
              </w:rPr>
              <w:t xml:space="preserve">; ability to contribute to ensuring that these are aligned with education activities; ability to contribute to ensuring that the </w:t>
            </w:r>
            <w:proofErr w:type="gramStart"/>
            <w:r>
              <w:rPr>
                <w:szCs w:val="18"/>
              </w:rPr>
              <w:t>Faculty</w:t>
            </w:r>
            <w:proofErr w:type="gramEnd"/>
            <w:r>
              <w:rPr>
                <w:szCs w:val="18"/>
              </w:rPr>
              <w:t xml:space="preserve"> </w:t>
            </w:r>
            <w:r>
              <w:t>has a process for appropriate risk assessment in relation to education and student activity</w:t>
            </w:r>
          </w:p>
          <w:p w14:paraId="2F5B1CB9" w14:textId="77777777" w:rsidR="00D432C4" w:rsidRPr="005E4344" w:rsidRDefault="00D432C4" w:rsidP="0012209D">
            <w:pPr>
              <w:rPr>
                <w:szCs w:val="18"/>
              </w:rPr>
            </w:pPr>
            <w:r w:rsidRPr="005E4344">
              <w:rPr>
                <w:szCs w:val="18"/>
              </w:rPr>
              <w:t>Positive attitude to colleagues and students</w:t>
            </w:r>
          </w:p>
          <w:p w14:paraId="5569A5CB" w14:textId="76CE9D10" w:rsidR="00D432C4" w:rsidRPr="005E4344" w:rsidRDefault="00D432C4" w:rsidP="00B241CF">
            <w:pPr>
              <w:rPr>
                <w:szCs w:val="18"/>
              </w:rPr>
            </w:pPr>
            <w:r w:rsidRPr="005E4344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5E4344">
              <w:rPr>
                <w:szCs w:val="18"/>
              </w:rPr>
              <w:t xml:space="preserve"> to alig</w:t>
            </w:r>
            <w:r>
              <w:rPr>
                <w:szCs w:val="18"/>
              </w:rPr>
              <w:t>n</w:t>
            </w:r>
            <w:r w:rsidRPr="005E4344">
              <w:rPr>
                <w:szCs w:val="18"/>
              </w:rPr>
              <w:t xml:space="preserve"> with the University’s core values in all areas of work, and champion those behaviours in the </w:t>
            </w:r>
            <w:proofErr w:type="gramStart"/>
            <w:r>
              <w:rPr>
                <w:szCs w:val="18"/>
              </w:rPr>
              <w:t>Faculty</w:t>
            </w:r>
            <w:proofErr w:type="gramEnd"/>
          </w:p>
        </w:tc>
        <w:tc>
          <w:tcPr>
            <w:tcW w:w="3260" w:type="dxa"/>
          </w:tcPr>
          <w:p w14:paraId="510A4C9D" w14:textId="77777777" w:rsidR="00D432C4" w:rsidRPr="005E4344" w:rsidRDefault="00D432C4" w:rsidP="0012209D">
            <w:pPr>
              <w:rPr>
                <w:szCs w:val="18"/>
              </w:rPr>
            </w:pPr>
          </w:p>
        </w:tc>
      </w:tr>
      <w:tr w:rsidR="00D432C4" w14:paraId="2B9F891B" w14:textId="77777777" w:rsidTr="00D432C4">
        <w:tc>
          <w:tcPr>
            <w:tcW w:w="1614" w:type="dxa"/>
          </w:tcPr>
          <w:p w14:paraId="354B9825" w14:textId="77777777" w:rsidR="00D432C4" w:rsidRPr="005E4344" w:rsidRDefault="00D432C4" w:rsidP="00E43297">
            <w:pPr>
              <w:rPr>
                <w:szCs w:val="18"/>
              </w:rPr>
            </w:pPr>
            <w:r w:rsidRPr="005E4344">
              <w:rPr>
                <w:szCs w:val="18"/>
              </w:rPr>
              <w:t>Special requirements</w:t>
            </w:r>
          </w:p>
        </w:tc>
        <w:tc>
          <w:tcPr>
            <w:tcW w:w="4760" w:type="dxa"/>
          </w:tcPr>
          <w:p w14:paraId="30188FA5" w14:textId="46AA9132" w:rsidR="00D432C4" w:rsidRPr="005E4344" w:rsidRDefault="00D432C4" w:rsidP="005E4344">
            <w:pPr>
              <w:rPr>
                <w:szCs w:val="18"/>
              </w:rPr>
            </w:pPr>
          </w:p>
        </w:tc>
        <w:tc>
          <w:tcPr>
            <w:tcW w:w="3260" w:type="dxa"/>
          </w:tcPr>
          <w:p w14:paraId="394B7C5E" w14:textId="77777777" w:rsidR="00D432C4" w:rsidRPr="005E4344" w:rsidRDefault="00D432C4" w:rsidP="0012209D">
            <w:pPr>
              <w:rPr>
                <w:szCs w:val="18"/>
              </w:rPr>
            </w:pPr>
          </w:p>
        </w:tc>
      </w:tr>
    </w:tbl>
    <w:p w14:paraId="225B9153" w14:textId="73F6C035" w:rsidR="00013C10" w:rsidRDefault="00013C10" w:rsidP="0051702E"/>
    <w:p w14:paraId="23CD656F" w14:textId="77777777" w:rsidR="0051702E" w:rsidRPr="00FE0CAA" w:rsidRDefault="0051702E" w:rsidP="0051702E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9B90D06" w14:textId="77777777" w:rsidR="0051702E" w:rsidRDefault="0051702E" w:rsidP="0051702E">
      <w:pPr>
        <w:rPr>
          <w:b/>
          <w:bCs/>
        </w:rPr>
      </w:pPr>
      <w:bookmarkStart w:id="0" w:name="_Hlk66433397"/>
    </w:p>
    <w:p w14:paraId="6B354D68" w14:textId="77777777" w:rsidR="0051702E" w:rsidRDefault="0051702E" w:rsidP="0051702E">
      <w:pPr>
        <w:rPr>
          <w:b/>
          <w:bCs/>
        </w:rPr>
      </w:pPr>
      <w:r>
        <w:rPr>
          <w:b/>
          <w:bCs/>
        </w:rPr>
        <w:t>Is this an office-based post, with routine hazards?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3"/>
        <w:gridCol w:w="8724"/>
      </w:tblGrid>
      <w:tr w:rsidR="0051702E" w14:paraId="30652AC4" w14:textId="77777777" w:rsidTr="00234317">
        <w:tc>
          <w:tcPr>
            <w:tcW w:w="903" w:type="dxa"/>
          </w:tcPr>
          <w:p w14:paraId="76E791C1" w14:textId="77777777" w:rsidR="0051702E" w:rsidRDefault="00ED30C7" w:rsidP="00234317">
            <w:sdt>
              <w:sdtPr>
                <w:id w:val="-1037032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1702E" w:rsidRPr="00D3349E">
              <w:t xml:space="preserve"> Yes</w:t>
            </w:r>
          </w:p>
        </w:tc>
        <w:tc>
          <w:tcPr>
            <w:tcW w:w="8724" w:type="dxa"/>
          </w:tcPr>
          <w:p w14:paraId="2CCF866F" w14:textId="77777777" w:rsidR="0051702E" w:rsidRDefault="0051702E" w:rsidP="00234317">
            <w:r>
              <w:t xml:space="preserve">This is an office-based post with </w:t>
            </w:r>
            <w:r w:rsidRPr="009957AE">
              <w:t xml:space="preserve">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 xml:space="preserve">), </w:t>
            </w:r>
            <w:r w:rsidRPr="009957AE">
              <w:t>no further i</w:t>
            </w:r>
            <w:r>
              <w:t>nformation needs to be supplied. Do not complete/remove the section below.</w:t>
            </w:r>
          </w:p>
        </w:tc>
      </w:tr>
      <w:bookmarkEnd w:id="0"/>
    </w:tbl>
    <w:p w14:paraId="34265DE5" w14:textId="77777777" w:rsidR="0051702E" w:rsidRPr="0012209D" w:rsidRDefault="0051702E" w:rsidP="0051702E">
      <w:pPr>
        <w:overflowPunct/>
        <w:autoSpaceDE/>
        <w:autoSpaceDN/>
        <w:adjustRightInd/>
        <w:spacing w:before="0" w:after="0"/>
        <w:textAlignment w:val="auto"/>
      </w:pPr>
    </w:p>
    <w:p w14:paraId="5C38A53E" w14:textId="77777777" w:rsidR="0051702E" w:rsidRDefault="0051702E" w:rsidP="0051702E"/>
    <w:sectPr w:rsidR="0051702E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9495" w14:textId="77777777" w:rsidR="00171AFB" w:rsidRDefault="00171AFB">
      <w:r>
        <w:separator/>
      </w:r>
    </w:p>
    <w:p w14:paraId="72B6017A" w14:textId="77777777" w:rsidR="00171AFB" w:rsidRDefault="00171AFB"/>
  </w:endnote>
  <w:endnote w:type="continuationSeparator" w:id="0">
    <w:p w14:paraId="454B4009" w14:textId="77777777" w:rsidR="00171AFB" w:rsidRDefault="00171AFB">
      <w:r>
        <w:continuationSeparator/>
      </w:r>
    </w:p>
    <w:p w14:paraId="72E46F49" w14:textId="77777777" w:rsidR="00171AFB" w:rsidRDefault="00171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DCCA" w14:textId="76BD9819" w:rsidR="00E15419" w:rsidRDefault="00871A8E" w:rsidP="002523FC">
    <w:pPr>
      <w:pStyle w:val="ContinuationFooter"/>
      <w:ind w:right="240"/>
    </w:pPr>
    <w:r>
      <w:t>Role Descriptor – Associate Dan (Education)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19E0" w14:textId="77777777" w:rsidR="00171AFB" w:rsidRDefault="00171AFB">
      <w:r>
        <w:separator/>
      </w:r>
    </w:p>
    <w:p w14:paraId="13908217" w14:textId="77777777" w:rsidR="00171AFB" w:rsidRDefault="00171AFB"/>
  </w:footnote>
  <w:footnote w:type="continuationSeparator" w:id="0">
    <w:p w14:paraId="61DB2A52" w14:textId="77777777" w:rsidR="00171AFB" w:rsidRDefault="00171AFB">
      <w:r>
        <w:continuationSeparator/>
      </w:r>
    </w:p>
    <w:p w14:paraId="2FF389BF" w14:textId="77777777" w:rsidR="00171AFB" w:rsidRDefault="00171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15419" w14:paraId="3D23CF14" w14:textId="77777777" w:rsidTr="00854B1E">
      <w:trPr>
        <w:trHeight w:hRule="exact" w:val="227"/>
      </w:trPr>
      <w:tc>
        <w:tcPr>
          <w:tcW w:w="9639" w:type="dxa"/>
        </w:tcPr>
        <w:p w14:paraId="0E0DA947" w14:textId="77777777" w:rsidR="00E15419" w:rsidRDefault="00E15419" w:rsidP="0029789A">
          <w:pPr>
            <w:pStyle w:val="Header"/>
          </w:pPr>
        </w:p>
      </w:tc>
    </w:tr>
    <w:tr w:rsidR="00E15419" w14:paraId="2867229C" w14:textId="77777777" w:rsidTr="00013C10">
      <w:trPr>
        <w:trHeight w:val="1183"/>
      </w:trPr>
      <w:tc>
        <w:tcPr>
          <w:tcW w:w="9639" w:type="dxa"/>
        </w:tcPr>
        <w:p w14:paraId="21CBF448" w14:textId="77777777" w:rsidR="00E15419" w:rsidRDefault="00E1541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A70B313" wp14:editId="1092B5B3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A773D8" w14:textId="77777777" w:rsidR="00E15419" w:rsidRDefault="00E15419" w:rsidP="00F01EA0">
    <w:pPr>
      <w:pStyle w:val="DocTitle"/>
    </w:pPr>
    <w:r>
      <w:t>Officer of the University</w:t>
    </w:r>
  </w:p>
  <w:p w14:paraId="0E13EFA7" w14:textId="77777777" w:rsidR="00E15419" w:rsidRDefault="00E15419" w:rsidP="00F01EA0">
    <w:pPr>
      <w:pStyle w:val="DocTitle"/>
    </w:pPr>
    <w:r>
      <w:t>Role Descriptor</w:t>
    </w:r>
  </w:p>
  <w:p w14:paraId="2DDD8667" w14:textId="77777777" w:rsidR="00E15419" w:rsidRPr="0005274A" w:rsidRDefault="00E15419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02902"/>
    <w:multiLevelType w:val="hybridMultilevel"/>
    <w:tmpl w:val="F578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A2346B"/>
    <w:multiLevelType w:val="hybridMultilevel"/>
    <w:tmpl w:val="41A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1A37"/>
    <w:multiLevelType w:val="hybridMultilevel"/>
    <w:tmpl w:val="C840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4C94"/>
    <w:multiLevelType w:val="hybridMultilevel"/>
    <w:tmpl w:val="10E8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10704"/>
    <w:multiLevelType w:val="hybridMultilevel"/>
    <w:tmpl w:val="974E2F38"/>
    <w:lvl w:ilvl="0" w:tplc="1E3E8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63BC8"/>
    <w:multiLevelType w:val="hybridMultilevel"/>
    <w:tmpl w:val="17268BA0"/>
    <w:lvl w:ilvl="0" w:tplc="FD82F2B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6E13909"/>
    <w:multiLevelType w:val="hybridMultilevel"/>
    <w:tmpl w:val="A00C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40BF7"/>
    <w:multiLevelType w:val="hybridMultilevel"/>
    <w:tmpl w:val="7EEA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253562"/>
    <w:multiLevelType w:val="hybridMultilevel"/>
    <w:tmpl w:val="4C7A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469C"/>
    <w:multiLevelType w:val="hybridMultilevel"/>
    <w:tmpl w:val="4536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1510696"/>
    <w:multiLevelType w:val="multilevel"/>
    <w:tmpl w:val="CAC4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592977001">
    <w:abstractNumId w:val="28"/>
  </w:num>
  <w:num w:numId="2" w16cid:durableId="1241986233">
    <w:abstractNumId w:val="0"/>
  </w:num>
  <w:num w:numId="3" w16cid:durableId="195508918">
    <w:abstractNumId w:val="23"/>
  </w:num>
  <w:num w:numId="4" w16cid:durableId="1804615867">
    <w:abstractNumId w:val="14"/>
  </w:num>
  <w:num w:numId="5" w16cid:durableId="191458273">
    <w:abstractNumId w:val="15"/>
  </w:num>
  <w:num w:numId="6" w16cid:durableId="1748261198">
    <w:abstractNumId w:val="11"/>
  </w:num>
  <w:num w:numId="7" w16cid:durableId="1490560030">
    <w:abstractNumId w:val="4"/>
  </w:num>
  <w:num w:numId="8" w16cid:durableId="1412237172">
    <w:abstractNumId w:val="8"/>
  </w:num>
  <w:num w:numId="9" w16cid:durableId="1590963205">
    <w:abstractNumId w:val="2"/>
  </w:num>
  <w:num w:numId="10" w16cid:durableId="1161241845">
    <w:abstractNumId w:val="13"/>
  </w:num>
  <w:num w:numId="11" w16cid:durableId="2039237002">
    <w:abstractNumId w:val="7"/>
  </w:num>
  <w:num w:numId="12" w16cid:durableId="1592927819">
    <w:abstractNumId w:val="24"/>
  </w:num>
  <w:num w:numId="13" w16cid:durableId="1752507546">
    <w:abstractNumId w:val="25"/>
  </w:num>
  <w:num w:numId="14" w16cid:durableId="1635258270">
    <w:abstractNumId w:val="10"/>
  </w:num>
  <w:num w:numId="15" w16cid:durableId="1235820296">
    <w:abstractNumId w:val="3"/>
  </w:num>
  <w:num w:numId="16" w16cid:durableId="161940461">
    <w:abstractNumId w:val="19"/>
  </w:num>
  <w:num w:numId="17" w16cid:durableId="1338533681">
    <w:abstractNumId w:val="22"/>
  </w:num>
  <w:num w:numId="18" w16cid:durableId="1590429213">
    <w:abstractNumId w:val="27"/>
  </w:num>
  <w:num w:numId="19" w16cid:durableId="1174294961">
    <w:abstractNumId w:val="16"/>
  </w:num>
  <w:num w:numId="20" w16cid:durableId="2126190907">
    <w:abstractNumId w:val="12"/>
  </w:num>
  <w:num w:numId="21" w16cid:durableId="1292521085">
    <w:abstractNumId w:val="21"/>
  </w:num>
  <w:num w:numId="22" w16cid:durableId="849756126">
    <w:abstractNumId w:val="9"/>
  </w:num>
  <w:num w:numId="23" w16cid:durableId="44834324">
    <w:abstractNumId w:val="18"/>
  </w:num>
  <w:num w:numId="24" w16cid:durableId="456846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9696035">
    <w:abstractNumId w:val="17"/>
  </w:num>
  <w:num w:numId="26" w16cid:durableId="1962877462">
    <w:abstractNumId w:val="20"/>
  </w:num>
  <w:num w:numId="27" w16cid:durableId="1609317404">
    <w:abstractNumId w:val="6"/>
  </w:num>
  <w:num w:numId="28" w16cid:durableId="1984000521">
    <w:abstractNumId w:val="5"/>
  </w:num>
  <w:num w:numId="29" w16cid:durableId="15980589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4809"/>
    <w:rsid w:val="000372ED"/>
    <w:rsid w:val="00043A98"/>
    <w:rsid w:val="00043C4A"/>
    <w:rsid w:val="0005274A"/>
    <w:rsid w:val="000546E8"/>
    <w:rsid w:val="00062768"/>
    <w:rsid w:val="00063081"/>
    <w:rsid w:val="00071653"/>
    <w:rsid w:val="00075B8F"/>
    <w:rsid w:val="000824F4"/>
    <w:rsid w:val="00083E47"/>
    <w:rsid w:val="000978E8"/>
    <w:rsid w:val="000A100D"/>
    <w:rsid w:val="000B1DED"/>
    <w:rsid w:val="000B4C21"/>
    <w:rsid w:val="000B4E5A"/>
    <w:rsid w:val="000D56E6"/>
    <w:rsid w:val="000D7B82"/>
    <w:rsid w:val="000E683D"/>
    <w:rsid w:val="000E7C02"/>
    <w:rsid w:val="0012209D"/>
    <w:rsid w:val="00143B06"/>
    <w:rsid w:val="001532E2"/>
    <w:rsid w:val="00156F2F"/>
    <w:rsid w:val="0016097A"/>
    <w:rsid w:val="001614F2"/>
    <w:rsid w:val="00164ED0"/>
    <w:rsid w:val="001651D4"/>
    <w:rsid w:val="00171AFB"/>
    <w:rsid w:val="00173775"/>
    <w:rsid w:val="00174000"/>
    <w:rsid w:val="0018144C"/>
    <w:rsid w:val="001840EA"/>
    <w:rsid w:val="00191403"/>
    <w:rsid w:val="001B2690"/>
    <w:rsid w:val="001B6986"/>
    <w:rsid w:val="001C5269"/>
    <w:rsid w:val="001C5C5C"/>
    <w:rsid w:val="001D0B37"/>
    <w:rsid w:val="001D5201"/>
    <w:rsid w:val="001D7FC5"/>
    <w:rsid w:val="001E24BE"/>
    <w:rsid w:val="00205458"/>
    <w:rsid w:val="0023514B"/>
    <w:rsid w:val="00236BFE"/>
    <w:rsid w:val="002401FA"/>
    <w:rsid w:val="00241441"/>
    <w:rsid w:val="0024539C"/>
    <w:rsid w:val="00246343"/>
    <w:rsid w:val="002523FC"/>
    <w:rsid w:val="00254722"/>
    <w:rsid w:val="002547F5"/>
    <w:rsid w:val="00255B68"/>
    <w:rsid w:val="00260333"/>
    <w:rsid w:val="002607CF"/>
    <w:rsid w:val="00260B1D"/>
    <w:rsid w:val="00266C6A"/>
    <w:rsid w:val="0028509A"/>
    <w:rsid w:val="0029043C"/>
    <w:rsid w:val="00293D3C"/>
    <w:rsid w:val="0029789A"/>
    <w:rsid w:val="002A4683"/>
    <w:rsid w:val="002A70BE"/>
    <w:rsid w:val="002C6198"/>
    <w:rsid w:val="002D1295"/>
    <w:rsid w:val="002D297F"/>
    <w:rsid w:val="002D4DF4"/>
    <w:rsid w:val="002E3EDA"/>
    <w:rsid w:val="002F09AD"/>
    <w:rsid w:val="002F7E8D"/>
    <w:rsid w:val="00311989"/>
    <w:rsid w:val="0031309C"/>
    <w:rsid w:val="00313CC8"/>
    <w:rsid w:val="003178D9"/>
    <w:rsid w:val="003302BD"/>
    <w:rsid w:val="00330A49"/>
    <w:rsid w:val="00336D3B"/>
    <w:rsid w:val="0034151E"/>
    <w:rsid w:val="00361810"/>
    <w:rsid w:val="00364B2C"/>
    <w:rsid w:val="003701F7"/>
    <w:rsid w:val="00370DDB"/>
    <w:rsid w:val="00393349"/>
    <w:rsid w:val="003A29ED"/>
    <w:rsid w:val="003B0262"/>
    <w:rsid w:val="003B7540"/>
    <w:rsid w:val="003C4993"/>
    <w:rsid w:val="003E1A0A"/>
    <w:rsid w:val="003E5C3D"/>
    <w:rsid w:val="004015AF"/>
    <w:rsid w:val="00425843"/>
    <w:rsid w:val="004263FE"/>
    <w:rsid w:val="00460D04"/>
    <w:rsid w:val="00463797"/>
    <w:rsid w:val="00474D00"/>
    <w:rsid w:val="004759C6"/>
    <w:rsid w:val="004800AE"/>
    <w:rsid w:val="004A79B5"/>
    <w:rsid w:val="004B2A50"/>
    <w:rsid w:val="004C0252"/>
    <w:rsid w:val="004C130E"/>
    <w:rsid w:val="004E7077"/>
    <w:rsid w:val="004F058A"/>
    <w:rsid w:val="004F6849"/>
    <w:rsid w:val="0051702E"/>
    <w:rsid w:val="0051744C"/>
    <w:rsid w:val="00524005"/>
    <w:rsid w:val="00534B76"/>
    <w:rsid w:val="00541CE0"/>
    <w:rsid w:val="005534E1"/>
    <w:rsid w:val="00570DEF"/>
    <w:rsid w:val="00573487"/>
    <w:rsid w:val="00580CBF"/>
    <w:rsid w:val="005907B3"/>
    <w:rsid w:val="005949FA"/>
    <w:rsid w:val="005A00A8"/>
    <w:rsid w:val="005B39E5"/>
    <w:rsid w:val="005C3ADA"/>
    <w:rsid w:val="005C5010"/>
    <w:rsid w:val="005D44D1"/>
    <w:rsid w:val="005E4344"/>
    <w:rsid w:val="005E662F"/>
    <w:rsid w:val="0061418C"/>
    <w:rsid w:val="006249FD"/>
    <w:rsid w:val="00651280"/>
    <w:rsid w:val="00653085"/>
    <w:rsid w:val="0066213C"/>
    <w:rsid w:val="006645F0"/>
    <w:rsid w:val="00680547"/>
    <w:rsid w:val="006812C3"/>
    <w:rsid w:val="00685F00"/>
    <w:rsid w:val="00690FD5"/>
    <w:rsid w:val="00695D76"/>
    <w:rsid w:val="006A4638"/>
    <w:rsid w:val="006A5455"/>
    <w:rsid w:val="006B1AF6"/>
    <w:rsid w:val="006F44EB"/>
    <w:rsid w:val="0070376B"/>
    <w:rsid w:val="00706499"/>
    <w:rsid w:val="00710A92"/>
    <w:rsid w:val="00736110"/>
    <w:rsid w:val="00761108"/>
    <w:rsid w:val="0079197B"/>
    <w:rsid w:val="00791A2A"/>
    <w:rsid w:val="007C22CC"/>
    <w:rsid w:val="007C3A19"/>
    <w:rsid w:val="007C4772"/>
    <w:rsid w:val="007C6FAA"/>
    <w:rsid w:val="007D7BE9"/>
    <w:rsid w:val="007E2D19"/>
    <w:rsid w:val="007F2AEA"/>
    <w:rsid w:val="00813365"/>
    <w:rsid w:val="00813A2C"/>
    <w:rsid w:val="0082020C"/>
    <w:rsid w:val="0082075E"/>
    <w:rsid w:val="008368A4"/>
    <w:rsid w:val="008443D8"/>
    <w:rsid w:val="008474BA"/>
    <w:rsid w:val="0085391D"/>
    <w:rsid w:val="00854B1E"/>
    <w:rsid w:val="00856B8A"/>
    <w:rsid w:val="00871A8E"/>
    <w:rsid w:val="00874F87"/>
    <w:rsid w:val="00875852"/>
    <w:rsid w:val="00876272"/>
    <w:rsid w:val="00883499"/>
    <w:rsid w:val="00885FD1"/>
    <w:rsid w:val="008A073C"/>
    <w:rsid w:val="008A0816"/>
    <w:rsid w:val="008A4845"/>
    <w:rsid w:val="008A5DED"/>
    <w:rsid w:val="008B260F"/>
    <w:rsid w:val="008B69FE"/>
    <w:rsid w:val="008D3C69"/>
    <w:rsid w:val="008D52C9"/>
    <w:rsid w:val="008F03C7"/>
    <w:rsid w:val="00904F67"/>
    <w:rsid w:val="009064A9"/>
    <w:rsid w:val="009246E2"/>
    <w:rsid w:val="009270F7"/>
    <w:rsid w:val="00944957"/>
    <w:rsid w:val="00945F4B"/>
    <w:rsid w:val="009464AF"/>
    <w:rsid w:val="00954E47"/>
    <w:rsid w:val="009612AA"/>
    <w:rsid w:val="00965BFB"/>
    <w:rsid w:val="00970E28"/>
    <w:rsid w:val="0098120F"/>
    <w:rsid w:val="0098280E"/>
    <w:rsid w:val="00996476"/>
    <w:rsid w:val="009C6433"/>
    <w:rsid w:val="009E1899"/>
    <w:rsid w:val="00A0033B"/>
    <w:rsid w:val="00A021B7"/>
    <w:rsid w:val="00A0597D"/>
    <w:rsid w:val="00A05A22"/>
    <w:rsid w:val="00A131D9"/>
    <w:rsid w:val="00A14888"/>
    <w:rsid w:val="00A23226"/>
    <w:rsid w:val="00A34296"/>
    <w:rsid w:val="00A50B5C"/>
    <w:rsid w:val="00A521A9"/>
    <w:rsid w:val="00A5288F"/>
    <w:rsid w:val="00A809E4"/>
    <w:rsid w:val="00A84DA5"/>
    <w:rsid w:val="00A925C0"/>
    <w:rsid w:val="00AA3CB5"/>
    <w:rsid w:val="00AA7AE2"/>
    <w:rsid w:val="00AB4A9C"/>
    <w:rsid w:val="00AC2B17"/>
    <w:rsid w:val="00AD68F7"/>
    <w:rsid w:val="00AE1CA0"/>
    <w:rsid w:val="00AE39DC"/>
    <w:rsid w:val="00AE4DC4"/>
    <w:rsid w:val="00AF1DD6"/>
    <w:rsid w:val="00B1663E"/>
    <w:rsid w:val="00B17E26"/>
    <w:rsid w:val="00B241CF"/>
    <w:rsid w:val="00B27C7C"/>
    <w:rsid w:val="00B430BB"/>
    <w:rsid w:val="00B70896"/>
    <w:rsid w:val="00B84C12"/>
    <w:rsid w:val="00B92F90"/>
    <w:rsid w:val="00BA1283"/>
    <w:rsid w:val="00BB4A42"/>
    <w:rsid w:val="00BB7845"/>
    <w:rsid w:val="00BC28A7"/>
    <w:rsid w:val="00BE044B"/>
    <w:rsid w:val="00BF1CC6"/>
    <w:rsid w:val="00C021EC"/>
    <w:rsid w:val="00C16DFC"/>
    <w:rsid w:val="00C30199"/>
    <w:rsid w:val="00C33926"/>
    <w:rsid w:val="00C41388"/>
    <w:rsid w:val="00C55A7E"/>
    <w:rsid w:val="00C65515"/>
    <w:rsid w:val="00C76BCF"/>
    <w:rsid w:val="00C87377"/>
    <w:rsid w:val="00C907D0"/>
    <w:rsid w:val="00C9219B"/>
    <w:rsid w:val="00CA13ED"/>
    <w:rsid w:val="00CA5DC0"/>
    <w:rsid w:val="00CA7A9B"/>
    <w:rsid w:val="00CB1F23"/>
    <w:rsid w:val="00CC2537"/>
    <w:rsid w:val="00CD04F0"/>
    <w:rsid w:val="00CE3A26"/>
    <w:rsid w:val="00D05BE6"/>
    <w:rsid w:val="00D16D9D"/>
    <w:rsid w:val="00D3349E"/>
    <w:rsid w:val="00D35289"/>
    <w:rsid w:val="00D432C4"/>
    <w:rsid w:val="00D445C2"/>
    <w:rsid w:val="00D47386"/>
    <w:rsid w:val="00D54AA2"/>
    <w:rsid w:val="00D55315"/>
    <w:rsid w:val="00D5587F"/>
    <w:rsid w:val="00D56D76"/>
    <w:rsid w:val="00D65B56"/>
    <w:rsid w:val="00D67D41"/>
    <w:rsid w:val="00D7180F"/>
    <w:rsid w:val="00D71A12"/>
    <w:rsid w:val="00DA29D6"/>
    <w:rsid w:val="00DA3C43"/>
    <w:rsid w:val="00DB18D4"/>
    <w:rsid w:val="00DC50CD"/>
    <w:rsid w:val="00DE034B"/>
    <w:rsid w:val="00DF19E2"/>
    <w:rsid w:val="00DF2B3F"/>
    <w:rsid w:val="00E15419"/>
    <w:rsid w:val="00E25775"/>
    <w:rsid w:val="00E264FD"/>
    <w:rsid w:val="00E27EA8"/>
    <w:rsid w:val="00E3608C"/>
    <w:rsid w:val="00E363B8"/>
    <w:rsid w:val="00E3698A"/>
    <w:rsid w:val="00E43297"/>
    <w:rsid w:val="00E51586"/>
    <w:rsid w:val="00E5716B"/>
    <w:rsid w:val="00E63114"/>
    <w:rsid w:val="00E63AC1"/>
    <w:rsid w:val="00E653F3"/>
    <w:rsid w:val="00E804B0"/>
    <w:rsid w:val="00E85D86"/>
    <w:rsid w:val="00E96015"/>
    <w:rsid w:val="00EB7BAC"/>
    <w:rsid w:val="00ED2E52"/>
    <w:rsid w:val="00EF40C2"/>
    <w:rsid w:val="00F01EA0"/>
    <w:rsid w:val="00F17795"/>
    <w:rsid w:val="00F17C92"/>
    <w:rsid w:val="00F31BC3"/>
    <w:rsid w:val="00F378D2"/>
    <w:rsid w:val="00F56496"/>
    <w:rsid w:val="00F80C0B"/>
    <w:rsid w:val="00F85DED"/>
    <w:rsid w:val="00F90F90"/>
    <w:rsid w:val="00F97F3F"/>
    <w:rsid w:val="00FB7297"/>
    <w:rsid w:val="00FB7C35"/>
    <w:rsid w:val="00FC2ADA"/>
    <w:rsid w:val="00FC5357"/>
    <w:rsid w:val="00FD5BD8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152F5"/>
  <w15:docId w15:val="{DF4184A9-3845-4252-8F3D-379C78F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agm">
    <w:name w:val="agm"/>
    <w:basedOn w:val="Normal"/>
    <w:rsid w:val="000E683D"/>
    <w:pPr>
      <w:overflowPunct/>
      <w:autoSpaceDE/>
      <w:autoSpaceDN/>
      <w:adjustRightInd/>
      <w:spacing w:before="0" w:after="0" w:line="480" w:lineRule="auto"/>
      <w:jc w:val="both"/>
      <w:textAlignment w:val="auto"/>
    </w:pPr>
    <w:rPr>
      <w:rFonts w:ascii="Bookman Old Style" w:eastAsia="MS Mincho" w:hAnsi="Bookman Old Style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F40C2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98C90EAADCE499FDBBFAEAC735CAB" ma:contentTypeVersion="20" ma:contentTypeDescription="Create a new document." ma:contentTypeScope="" ma:versionID="0cf895beab9a10cdad0828c4ce0acdbd">
  <xsd:schema xmlns:xsd="http://www.w3.org/2001/XMLSchema" xmlns:xs="http://www.w3.org/2001/XMLSchema" xmlns:p="http://schemas.microsoft.com/office/2006/metadata/properties" xmlns:ns1="http://schemas.microsoft.com/sharepoint/v3" xmlns:ns2="47049e72-2a7e-4ca5-865c-acf3f6bb3458" xmlns:ns3="e4a1c88d-b5eb-42cd-bda4-6fd5c079ddd5" targetNamespace="http://schemas.microsoft.com/office/2006/metadata/properties" ma:root="true" ma:fieldsID="7b9d52f76528b0c9f5ed9d2eccc9db40" ns1:_="" ns2:_="" ns3:_="">
    <xsd:import namespace="http://schemas.microsoft.com/sharepoint/v3"/>
    <xsd:import namespace="47049e72-2a7e-4ca5-865c-acf3f6bb3458"/>
    <xsd:import namespace="e4a1c88d-b5eb-42cd-bda4-6fd5c079d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9e72-2a7e-4ca5-865c-acf3f6bb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" ma:index="22" nillable="true" ma:displayName="Uploaded" ma:default="0" ma:format="Dropdown" ma:internalName="Uploa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c88d-b5eb-42cd-bda4-6fd5c079d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Uploaded xmlns="47049e72-2a7e-4ca5-865c-acf3f6bb3458">false</Uploaded>
  </documentManagement>
</p:properties>
</file>

<file path=customXml/itemProps1.xml><?xml version="1.0" encoding="utf-8"?>
<ds:datastoreItem xmlns:ds="http://schemas.openxmlformats.org/officeDocument/2006/customXml" ds:itemID="{B7C31A81-B1B0-4A1E-9E28-B777282F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49e72-2a7e-4ca5-865c-acf3f6bb3458"/>
    <ds:schemaRef ds:uri="e4a1c88d-b5eb-42cd-bda4-6fd5c079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92C76-9F84-4FFB-BA15-F881D2FB55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049e72-2a7e-4ca5-865c-acf3f6bb3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Sarah Flynn</cp:lastModifiedBy>
  <cp:revision>2</cp:revision>
  <cp:lastPrinted>2018-03-22T12:16:00Z</cp:lastPrinted>
  <dcterms:created xsi:type="dcterms:W3CDTF">2023-03-10T11:10:00Z</dcterms:created>
  <dcterms:modified xsi:type="dcterms:W3CDTF">2023-03-10T11:10:00Z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0x01010085098C90EAADCE499FDBBFAEAC735CAB</vt:lpwstr>
  </property>
  <property fmtid="{D5CDD505-2E9C-101B-9397-08002B2CF9AE}" pid="3" name="URL">
    <vt:lpwstr/>
  </property>
</Properties>
</file>