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562D2" w14:textId="77777777" w:rsidR="001B6B39" w:rsidRDefault="001B6B39" w:rsidP="001B6B39">
      <w:pPr>
        <w:jc w:val="right"/>
      </w:pPr>
    </w:p>
    <w:p w14:paraId="5ECCE084" w14:textId="77777777" w:rsidR="001B6B39" w:rsidRPr="00957CA3" w:rsidRDefault="00957CA3" w:rsidP="001B6B39">
      <w:pPr>
        <w:jc w:val="center"/>
        <w:rPr>
          <w:b/>
        </w:rPr>
      </w:pPr>
      <w:r w:rsidRPr="00957CA3">
        <w:rPr>
          <w:b/>
        </w:rPr>
        <w:t>JOB DESCRIPTION</w:t>
      </w:r>
    </w:p>
    <w:tbl>
      <w:tblPr>
        <w:tblStyle w:val="TableGrid"/>
        <w:tblW w:w="0" w:type="auto"/>
        <w:tblLook w:val="04A0" w:firstRow="1" w:lastRow="0" w:firstColumn="1" w:lastColumn="0" w:noHBand="0" w:noVBand="1"/>
      </w:tblPr>
      <w:tblGrid>
        <w:gridCol w:w="4673"/>
        <w:gridCol w:w="4343"/>
      </w:tblGrid>
      <w:tr w:rsidR="001B6B39" w14:paraId="1B21DD1F" w14:textId="77777777" w:rsidTr="105508F8">
        <w:trPr>
          <w:trHeight w:val="619"/>
        </w:trPr>
        <w:tc>
          <w:tcPr>
            <w:tcW w:w="4673" w:type="dxa"/>
          </w:tcPr>
          <w:p w14:paraId="74CE0217" w14:textId="41EA8E2E" w:rsidR="001B6B39" w:rsidRPr="001B6B39" w:rsidRDefault="001B6B39" w:rsidP="008B2CCA">
            <w:r>
              <w:rPr>
                <w:b/>
              </w:rPr>
              <w:t xml:space="preserve">Job Title: </w:t>
            </w:r>
            <w:r w:rsidR="006B42C9" w:rsidRPr="00251F06">
              <w:rPr>
                <w:color w:val="000000" w:themeColor="text1"/>
              </w:rPr>
              <w:t>Head of Library Academic Engagement</w:t>
            </w:r>
          </w:p>
        </w:tc>
        <w:tc>
          <w:tcPr>
            <w:tcW w:w="4343" w:type="dxa"/>
          </w:tcPr>
          <w:p w14:paraId="1D03ADFE" w14:textId="3DBFF421" w:rsidR="006B42C9" w:rsidRDefault="001B6B39" w:rsidP="006B42C9">
            <w:r w:rsidRPr="001B6B39">
              <w:rPr>
                <w:b/>
              </w:rPr>
              <w:t>Band</w:t>
            </w:r>
            <w:r w:rsidR="004A49CD">
              <w:rPr>
                <w:b/>
              </w:rPr>
              <w:t xml:space="preserve"> </w:t>
            </w:r>
            <w:r w:rsidR="006B42C9">
              <w:rPr>
                <w:b/>
              </w:rPr>
              <w:t>8</w:t>
            </w:r>
            <w:r>
              <w:rPr>
                <w:b/>
              </w:rPr>
              <w:t>:</w:t>
            </w:r>
            <w:r w:rsidR="003F7171">
              <w:t xml:space="preserve"> </w:t>
            </w:r>
            <w:r>
              <w:t xml:space="preserve"> £</w:t>
            </w:r>
            <w:r w:rsidR="006B42C9">
              <w:rPr>
                <w:rFonts w:ascii="Arial" w:hAnsi="Arial" w:cs="Arial"/>
                <w:color w:val="333333"/>
                <w:sz w:val="20"/>
                <w:szCs w:val="20"/>
              </w:rPr>
              <w:t xml:space="preserve"> 39,739 </w:t>
            </w:r>
            <w:proofErr w:type="gramStart"/>
            <w:r w:rsidR="006B42C9">
              <w:t xml:space="preserve">- </w:t>
            </w:r>
            <w:r w:rsidR="006B42C9">
              <w:rPr>
                <w:rStyle w:val="apple-converted-space"/>
                <w:rFonts w:ascii="Arial" w:hAnsi="Arial" w:cs="Arial"/>
                <w:color w:val="333333"/>
                <w:sz w:val="20"/>
                <w:szCs w:val="20"/>
              </w:rPr>
              <w:t> £</w:t>
            </w:r>
            <w:proofErr w:type="gramEnd"/>
            <w:r w:rsidR="006B42C9">
              <w:rPr>
                <w:rFonts w:ascii="Arial" w:hAnsi="Arial" w:cs="Arial"/>
                <w:color w:val="333333"/>
                <w:sz w:val="20"/>
                <w:szCs w:val="20"/>
              </w:rPr>
              <w:t>50,296</w:t>
            </w:r>
          </w:p>
          <w:p w14:paraId="29757BFA" w14:textId="5D2D0CAF" w:rsidR="001B6B39" w:rsidRPr="001B6B39" w:rsidRDefault="001B6B39" w:rsidP="008B2CCA">
            <w:pPr>
              <w:rPr>
                <w:i/>
                <w:sz w:val="18"/>
                <w:szCs w:val="18"/>
              </w:rPr>
            </w:pPr>
            <w:r>
              <w:rPr>
                <w:i/>
                <w:sz w:val="18"/>
                <w:szCs w:val="18"/>
              </w:rPr>
              <w:t>Op</w:t>
            </w:r>
            <w:r w:rsidR="003F7171">
              <w:rPr>
                <w:i/>
                <w:sz w:val="18"/>
                <w:szCs w:val="18"/>
              </w:rPr>
              <w:t>portunity to progress to £</w:t>
            </w:r>
            <w:r w:rsidR="006B42C9">
              <w:rPr>
                <w:i/>
                <w:sz w:val="18"/>
                <w:szCs w:val="18"/>
              </w:rPr>
              <w:t>54,131</w:t>
            </w:r>
          </w:p>
        </w:tc>
      </w:tr>
      <w:tr w:rsidR="001B6B39" w14:paraId="34905DF8" w14:textId="77777777" w:rsidTr="105508F8">
        <w:trPr>
          <w:trHeight w:val="414"/>
        </w:trPr>
        <w:tc>
          <w:tcPr>
            <w:tcW w:w="9016" w:type="dxa"/>
            <w:gridSpan w:val="2"/>
          </w:tcPr>
          <w:p w14:paraId="7D2CA3AF" w14:textId="481834D3" w:rsidR="001B6B39" w:rsidRPr="00120067" w:rsidRDefault="009248B3" w:rsidP="001B6B39">
            <w:r>
              <w:rPr>
                <w:b/>
              </w:rPr>
              <w:t>Department</w:t>
            </w:r>
            <w:r w:rsidR="001B6B39">
              <w:rPr>
                <w:b/>
              </w:rPr>
              <w:t>:</w:t>
            </w:r>
            <w:r w:rsidR="006B42C9">
              <w:rPr>
                <w:b/>
              </w:rPr>
              <w:t xml:space="preserve"> </w:t>
            </w:r>
            <w:r w:rsidR="006B42C9" w:rsidRPr="006B42C9">
              <w:rPr>
                <w:bCs/>
              </w:rPr>
              <w:t>Library Services</w:t>
            </w:r>
          </w:p>
        </w:tc>
      </w:tr>
      <w:tr w:rsidR="001B6B39" w14:paraId="26EF3191" w14:textId="77777777" w:rsidTr="105508F8">
        <w:trPr>
          <w:trHeight w:val="414"/>
        </w:trPr>
        <w:tc>
          <w:tcPr>
            <w:tcW w:w="9016" w:type="dxa"/>
            <w:gridSpan w:val="2"/>
          </w:tcPr>
          <w:p w14:paraId="2171D46E" w14:textId="5E6EE84E" w:rsidR="001B6B39" w:rsidRPr="001B6B39" w:rsidRDefault="001B6B39" w:rsidP="008B2CCA">
            <w:pPr>
              <w:rPr>
                <w:b/>
              </w:rPr>
            </w:pPr>
            <w:r>
              <w:rPr>
                <w:b/>
              </w:rPr>
              <w:t>Reporting directly to:</w:t>
            </w:r>
            <w:r w:rsidR="00120067">
              <w:t xml:space="preserve"> </w:t>
            </w:r>
            <w:r w:rsidR="006B42C9">
              <w:t>Director or Library and Professional Administrative Services</w:t>
            </w:r>
          </w:p>
        </w:tc>
      </w:tr>
      <w:tr w:rsidR="001B6B39" w14:paraId="4C4D488B" w14:textId="77777777" w:rsidTr="105508F8">
        <w:trPr>
          <w:trHeight w:val="421"/>
        </w:trPr>
        <w:tc>
          <w:tcPr>
            <w:tcW w:w="9016" w:type="dxa"/>
            <w:gridSpan w:val="2"/>
          </w:tcPr>
          <w:p w14:paraId="414D4498" w14:textId="7EEE2FC5" w:rsidR="001B6B39" w:rsidRPr="001B6B39" w:rsidRDefault="001B6B39" w:rsidP="008B2CCA">
            <w:r w:rsidRPr="3A59CA53">
              <w:rPr>
                <w:b/>
                <w:bCs/>
              </w:rPr>
              <w:t xml:space="preserve">Supervisory responsibility for: </w:t>
            </w:r>
            <w:r w:rsidR="006B42C9">
              <w:t>Academic Engagement Team (8 Academic Liaison Librarians, 2 Student Engagement Coordinators, Online Environment Manager, Partnerships and Transitions Librarian)</w:t>
            </w:r>
            <w:r w:rsidR="006B42C9" w:rsidRPr="3A59CA53">
              <w:rPr>
                <w:b/>
                <w:bCs/>
              </w:rPr>
              <w:t xml:space="preserve"> </w:t>
            </w:r>
          </w:p>
        </w:tc>
      </w:tr>
      <w:tr w:rsidR="001B6B39" w14:paraId="70CDFA7A" w14:textId="77777777" w:rsidTr="105508F8">
        <w:trPr>
          <w:trHeight w:val="1978"/>
        </w:trPr>
        <w:tc>
          <w:tcPr>
            <w:tcW w:w="9016" w:type="dxa"/>
            <w:gridSpan w:val="2"/>
          </w:tcPr>
          <w:p w14:paraId="4BE4E7B8" w14:textId="77777777" w:rsidR="001B6B39" w:rsidRPr="00B12E4B" w:rsidRDefault="001B6B39" w:rsidP="001B6B39">
            <w:pPr>
              <w:rPr>
                <w:i/>
                <w:color w:val="FF0000"/>
              </w:rPr>
            </w:pPr>
            <w:r>
              <w:rPr>
                <w:b/>
              </w:rPr>
              <w:t>Other Contacts</w:t>
            </w:r>
            <w:r w:rsidR="00120067">
              <w:rPr>
                <w:b/>
              </w:rPr>
              <w:t xml:space="preserve"> </w:t>
            </w:r>
          </w:p>
          <w:p w14:paraId="279A54EA" w14:textId="382E1A44" w:rsidR="001B6B39" w:rsidRPr="006B42C9" w:rsidRDefault="001B6B39" w:rsidP="001B6B39">
            <w:pPr>
              <w:rPr>
                <w:bCs/>
              </w:rPr>
            </w:pPr>
            <w:r>
              <w:rPr>
                <w:b/>
              </w:rPr>
              <w:t>Internal:</w:t>
            </w:r>
            <w:r w:rsidR="006B42C9">
              <w:rPr>
                <w:b/>
              </w:rPr>
              <w:t xml:space="preserve"> </w:t>
            </w:r>
            <w:r w:rsidR="006B42C9">
              <w:rPr>
                <w:bCs/>
              </w:rPr>
              <w:t xml:space="preserve">Academic and Professional Services staff (UW and partner organisations), students. </w:t>
            </w:r>
            <w:r w:rsidR="007B0D42">
              <w:rPr>
                <w:bCs/>
              </w:rPr>
              <w:t>Head of Digital Learning and Teaching. Director of Quality and Educational Development</w:t>
            </w:r>
          </w:p>
          <w:p w14:paraId="47234A52" w14:textId="77777777" w:rsidR="008B2CCA" w:rsidRDefault="008B2CCA" w:rsidP="001B6B39"/>
          <w:p w14:paraId="2FE71284" w14:textId="24D917B1" w:rsidR="001B6B39" w:rsidRPr="006B42C9" w:rsidRDefault="001B6B39" w:rsidP="001B6B39">
            <w:pPr>
              <w:rPr>
                <w:bCs/>
              </w:rPr>
            </w:pPr>
            <w:r>
              <w:rPr>
                <w:b/>
              </w:rPr>
              <w:t>External:</w:t>
            </w:r>
            <w:r w:rsidR="006B42C9">
              <w:rPr>
                <w:b/>
              </w:rPr>
              <w:t xml:space="preserve"> </w:t>
            </w:r>
            <w:r w:rsidR="006B42C9">
              <w:rPr>
                <w:bCs/>
              </w:rPr>
              <w:t xml:space="preserve">Worcestershire County Council Library Services </w:t>
            </w:r>
            <w:proofErr w:type="gramStart"/>
            <w:r w:rsidR="006B42C9">
              <w:rPr>
                <w:bCs/>
              </w:rPr>
              <w:t>especially</w:t>
            </w:r>
            <w:proofErr w:type="gramEnd"/>
            <w:r w:rsidR="006B42C9">
              <w:rPr>
                <w:bCs/>
              </w:rPr>
              <w:t xml:space="preserve"> Service Development Manager, Service Delivery Manager. Hive staff. </w:t>
            </w:r>
            <w:proofErr w:type="spellStart"/>
            <w:r w:rsidR="006B42C9">
              <w:rPr>
                <w:bCs/>
              </w:rPr>
              <w:t>Bellrock</w:t>
            </w:r>
            <w:proofErr w:type="spellEnd"/>
            <w:r w:rsidR="006B42C9">
              <w:rPr>
                <w:bCs/>
              </w:rPr>
              <w:t xml:space="preserve"> staff (FM management at The Hive)</w:t>
            </w:r>
            <w:r w:rsidR="007B0D42">
              <w:rPr>
                <w:bCs/>
              </w:rPr>
              <w:t xml:space="preserve">. Professional associations. </w:t>
            </w:r>
          </w:p>
          <w:p w14:paraId="4EBE2CEA" w14:textId="77777777" w:rsidR="00B12E4B" w:rsidRPr="00B12E4B" w:rsidRDefault="00B12E4B" w:rsidP="001B6B39">
            <w:pPr>
              <w:rPr>
                <w:i/>
              </w:rPr>
            </w:pPr>
          </w:p>
        </w:tc>
      </w:tr>
      <w:tr w:rsidR="001B6B39" w14:paraId="390D2683" w14:textId="77777777" w:rsidTr="105508F8">
        <w:trPr>
          <w:trHeight w:val="3700"/>
        </w:trPr>
        <w:tc>
          <w:tcPr>
            <w:tcW w:w="9016" w:type="dxa"/>
            <w:gridSpan w:val="2"/>
          </w:tcPr>
          <w:p w14:paraId="290F029F" w14:textId="77777777" w:rsidR="001B6B39" w:rsidRPr="00120067" w:rsidRDefault="001B6B39" w:rsidP="00120067">
            <w:pPr>
              <w:rPr>
                <w:rFonts w:cstheme="minorHAnsi"/>
                <w:b/>
              </w:rPr>
            </w:pPr>
            <w:r w:rsidRPr="00120067">
              <w:rPr>
                <w:rFonts w:cstheme="minorHAnsi"/>
                <w:b/>
              </w:rPr>
              <w:t>Main Duties</w:t>
            </w:r>
          </w:p>
          <w:p w14:paraId="7F7F19ED" w14:textId="6D3AE86F" w:rsidR="006B42C9" w:rsidRPr="00251F06" w:rsidRDefault="006B42C9" w:rsidP="006B42C9">
            <w:pPr>
              <w:pStyle w:val="Body1"/>
              <w:spacing w:after="120"/>
              <w:rPr>
                <w:rFonts w:asciiTheme="minorHAnsi" w:hAnsiTheme="minorHAnsi"/>
                <w:b/>
                <w:bCs/>
                <w:color w:val="000000" w:themeColor="text1"/>
                <w:sz w:val="22"/>
                <w:szCs w:val="22"/>
              </w:rPr>
            </w:pPr>
            <w:r w:rsidRPr="00251F06">
              <w:rPr>
                <w:rFonts w:asciiTheme="minorHAnsi" w:hAnsiTheme="minorHAnsi"/>
                <w:b/>
                <w:bCs/>
                <w:color w:val="000000" w:themeColor="text1"/>
                <w:sz w:val="22"/>
                <w:szCs w:val="22"/>
              </w:rPr>
              <w:t>Management and Leadership</w:t>
            </w:r>
          </w:p>
          <w:p w14:paraId="4A1287D7" w14:textId="77777777" w:rsidR="006B42C9" w:rsidRPr="00251F06" w:rsidRDefault="006B42C9" w:rsidP="006B42C9">
            <w:pPr>
              <w:pStyle w:val="Body1"/>
              <w:numPr>
                <w:ilvl w:val="0"/>
                <w:numId w:val="6"/>
              </w:numPr>
              <w:spacing w:after="120"/>
              <w:rPr>
                <w:rFonts w:asciiTheme="minorHAnsi" w:hAnsiTheme="minorHAnsi"/>
                <w:color w:val="000000" w:themeColor="text1"/>
                <w:sz w:val="22"/>
                <w:szCs w:val="22"/>
              </w:rPr>
            </w:pPr>
            <w:r w:rsidRPr="00251F06">
              <w:rPr>
                <w:rFonts w:asciiTheme="minorHAnsi" w:hAnsiTheme="minorHAnsi"/>
                <w:color w:val="000000" w:themeColor="text1"/>
                <w:sz w:val="22"/>
                <w:szCs w:val="22"/>
              </w:rPr>
              <w:t xml:space="preserve">As a member of the Library Services Senior </w:t>
            </w:r>
            <w:r>
              <w:rPr>
                <w:rFonts w:asciiTheme="minorHAnsi" w:hAnsiTheme="minorHAnsi"/>
                <w:color w:val="000000" w:themeColor="text1"/>
                <w:sz w:val="22"/>
                <w:szCs w:val="22"/>
              </w:rPr>
              <w:t>Leadership</w:t>
            </w:r>
            <w:r w:rsidRPr="00251F06">
              <w:rPr>
                <w:rFonts w:asciiTheme="minorHAnsi" w:hAnsiTheme="minorHAnsi"/>
                <w:color w:val="000000" w:themeColor="text1"/>
                <w:sz w:val="22"/>
                <w:szCs w:val="22"/>
              </w:rPr>
              <w:t xml:space="preserve"> Team, play a key role in the development, </w:t>
            </w:r>
            <w:proofErr w:type="gramStart"/>
            <w:r w:rsidRPr="00251F06">
              <w:rPr>
                <w:rFonts w:asciiTheme="minorHAnsi" w:hAnsiTheme="minorHAnsi"/>
                <w:color w:val="000000" w:themeColor="text1"/>
                <w:sz w:val="22"/>
                <w:szCs w:val="22"/>
              </w:rPr>
              <w:t>delivery</w:t>
            </w:r>
            <w:proofErr w:type="gramEnd"/>
            <w:r w:rsidRPr="00251F06">
              <w:rPr>
                <w:rFonts w:asciiTheme="minorHAnsi" w:hAnsiTheme="minorHAnsi"/>
                <w:color w:val="000000" w:themeColor="text1"/>
                <w:sz w:val="22"/>
                <w:szCs w:val="22"/>
              </w:rPr>
              <w:t xml:space="preserve"> and impact assessment of the Department's strategic aims.</w:t>
            </w:r>
            <w:r>
              <w:rPr>
                <w:rFonts w:asciiTheme="minorHAnsi" w:hAnsiTheme="minorHAnsi"/>
                <w:color w:val="000000" w:themeColor="text1"/>
                <w:sz w:val="22"/>
                <w:szCs w:val="22"/>
              </w:rPr>
              <w:t xml:space="preserve"> </w:t>
            </w:r>
          </w:p>
          <w:p w14:paraId="43F22EED" w14:textId="77777777" w:rsidR="006B42C9" w:rsidRPr="009B5A87" w:rsidRDefault="006B42C9" w:rsidP="006B42C9">
            <w:pPr>
              <w:pStyle w:val="Body1"/>
              <w:numPr>
                <w:ilvl w:val="0"/>
                <w:numId w:val="6"/>
              </w:numPr>
              <w:spacing w:after="120"/>
              <w:rPr>
                <w:rFonts w:asciiTheme="minorHAnsi" w:hAnsiTheme="minorHAnsi"/>
                <w:color w:val="000000" w:themeColor="text1"/>
                <w:sz w:val="22"/>
                <w:szCs w:val="22"/>
              </w:rPr>
            </w:pPr>
            <w:r w:rsidRPr="009B5A87">
              <w:rPr>
                <w:rFonts w:asciiTheme="minorHAnsi" w:hAnsiTheme="minorHAnsi"/>
                <w:color w:val="000000" w:themeColor="text1"/>
                <w:sz w:val="22"/>
                <w:szCs w:val="22"/>
              </w:rPr>
              <w:t xml:space="preserve">Lead, manage, </w:t>
            </w:r>
            <w:proofErr w:type="gramStart"/>
            <w:r w:rsidRPr="009B5A87">
              <w:rPr>
                <w:rFonts w:asciiTheme="minorHAnsi" w:hAnsiTheme="minorHAnsi"/>
                <w:color w:val="000000" w:themeColor="text1"/>
                <w:sz w:val="22"/>
                <w:szCs w:val="22"/>
              </w:rPr>
              <w:t>support</w:t>
            </w:r>
            <w:proofErr w:type="gramEnd"/>
            <w:r w:rsidRPr="009B5A87">
              <w:rPr>
                <w:rFonts w:asciiTheme="minorHAnsi" w:hAnsiTheme="minorHAnsi"/>
                <w:color w:val="000000" w:themeColor="text1"/>
                <w:sz w:val="22"/>
                <w:szCs w:val="22"/>
              </w:rPr>
              <w:t xml:space="preserve"> and develop the Library’s Academic Engagement Team to deliver the Department’s strategic objectives in line with Library Services values.</w:t>
            </w:r>
          </w:p>
          <w:p w14:paraId="3CFF228C" w14:textId="77777777" w:rsidR="006B42C9" w:rsidRPr="00251F06" w:rsidRDefault="006B42C9" w:rsidP="006B42C9">
            <w:pPr>
              <w:pStyle w:val="Body1"/>
              <w:numPr>
                <w:ilvl w:val="0"/>
                <w:numId w:val="6"/>
              </w:numPr>
              <w:spacing w:after="120"/>
              <w:rPr>
                <w:rFonts w:asciiTheme="minorHAnsi" w:hAnsiTheme="minorHAnsi"/>
                <w:color w:val="000000" w:themeColor="text1"/>
                <w:sz w:val="22"/>
                <w:szCs w:val="22"/>
              </w:rPr>
            </w:pPr>
            <w:r w:rsidRPr="00251F06">
              <w:rPr>
                <w:rFonts w:asciiTheme="minorHAnsi" w:hAnsiTheme="minorHAnsi"/>
                <w:color w:val="000000" w:themeColor="text1"/>
                <w:sz w:val="22"/>
                <w:szCs w:val="22"/>
              </w:rPr>
              <w:t xml:space="preserve">Lead the team in the delivery, evaluation and continuous improvement of </w:t>
            </w:r>
            <w:proofErr w:type="gramStart"/>
            <w:r w:rsidRPr="00251F06">
              <w:rPr>
                <w:rFonts w:asciiTheme="minorHAnsi" w:hAnsiTheme="minorHAnsi"/>
                <w:color w:val="000000" w:themeColor="text1"/>
                <w:sz w:val="22"/>
                <w:szCs w:val="22"/>
              </w:rPr>
              <w:t>high quality</w:t>
            </w:r>
            <w:proofErr w:type="gramEnd"/>
            <w:r w:rsidRPr="00251F06">
              <w:rPr>
                <w:rFonts w:asciiTheme="minorHAnsi" w:hAnsiTheme="minorHAnsi"/>
                <w:color w:val="000000" w:themeColor="text1"/>
                <w:sz w:val="22"/>
                <w:szCs w:val="22"/>
              </w:rPr>
              <w:t xml:space="preserve"> services, ensuring that they meet and exceed user expectations through developing service standards and KPIs and monitoring service </w:t>
            </w:r>
            <w:r w:rsidRPr="009B5A87">
              <w:rPr>
                <w:rFonts w:asciiTheme="minorHAnsi" w:hAnsiTheme="minorHAnsi"/>
                <w:color w:val="000000" w:themeColor="text1"/>
                <w:sz w:val="22"/>
                <w:szCs w:val="22"/>
              </w:rPr>
              <w:t>performance and impact</w:t>
            </w:r>
            <w:r>
              <w:rPr>
                <w:rFonts w:asciiTheme="minorHAnsi" w:hAnsiTheme="minorHAnsi"/>
                <w:color w:val="000000" w:themeColor="text1"/>
                <w:sz w:val="22"/>
                <w:szCs w:val="22"/>
              </w:rPr>
              <w:t xml:space="preserve"> </w:t>
            </w:r>
            <w:r w:rsidRPr="00251F06">
              <w:rPr>
                <w:rFonts w:asciiTheme="minorHAnsi" w:hAnsiTheme="minorHAnsi"/>
                <w:color w:val="000000" w:themeColor="text1"/>
                <w:sz w:val="22"/>
                <w:szCs w:val="22"/>
              </w:rPr>
              <w:t>in collaboration with other Library Services teams.</w:t>
            </w:r>
          </w:p>
          <w:p w14:paraId="22DD36A5" w14:textId="77777777" w:rsidR="006B42C9" w:rsidRPr="00251F06" w:rsidRDefault="006B42C9" w:rsidP="006B42C9">
            <w:pPr>
              <w:pStyle w:val="Body1"/>
              <w:numPr>
                <w:ilvl w:val="0"/>
                <w:numId w:val="6"/>
              </w:numPr>
              <w:spacing w:after="120"/>
              <w:rPr>
                <w:rFonts w:asciiTheme="minorHAnsi" w:hAnsiTheme="minorHAnsi"/>
                <w:color w:val="000000" w:themeColor="text1"/>
                <w:sz w:val="22"/>
                <w:szCs w:val="22"/>
              </w:rPr>
            </w:pPr>
            <w:r w:rsidRPr="00251F06">
              <w:rPr>
                <w:rFonts w:asciiTheme="minorHAnsi" w:hAnsiTheme="minorHAnsi"/>
                <w:color w:val="000000" w:themeColor="text1"/>
                <w:sz w:val="22"/>
                <w:szCs w:val="22"/>
              </w:rPr>
              <w:t xml:space="preserve">Deputise for the </w:t>
            </w:r>
            <w:r>
              <w:rPr>
                <w:rFonts w:asciiTheme="minorHAnsi" w:hAnsiTheme="minorHAnsi"/>
                <w:color w:val="000000" w:themeColor="text1"/>
                <w:sz w:val="22"/>
                <w:szCs w:val="22"/>
              </w:rPr>
              <w:t xml:space="preserve">Director of Library and Professional Administrative Services </w:t>
            </w:r>
            <w:r w:rsidRPr="00251F06">
              <w:rPr>
                <w:rFonts w:asciiTheme="minorHAnsi" w:hAnsiTheme="minorHAnsi"/>
                <w:color w:val="000000" w:themeColor="text1"/>
                <w:sz w:val="22"/>
                <w:szCs w:val="22"/>
              </w:rPr>
              <w:t>as required and represent the service on designated university and external committees and working groups.</w:t>
            </w:r>
          </w:p>
          <w:p w14:paraId="1B860CFE" w14:textId="77777777" w:rsidR="006B42C9" w:rsidRPr="009B5A87" w:rsidRDefault="006B42C9" w:rsidP="006B42C9">
            <w:pPr>
              <w:pStyle w:val="Body1"/>
              <w:numPr>
                <w:ilvl w:val="0"/>
                <w:numId w:val="6"/>
              </w:numPr>
              <w:spacing w:after="120"/>
              <w:rPr>
                <w:rFonts w:asciiTheme="minorHAnsi" w:hAnsiTheme="minorHAnsi"/>
                <w:color w:val="000000" w:themeColor="text1"/>
                <w:sz w:val="22"/>
                <w:szCs w:val="22"/>
              </w:rPr>
            </w:pPr>
            <w:r w:rsidRPr="00251F06">
              <w:rPr>
                <w:rFonts w:asciiTheme="minorHAnsi" w:hAnsiTheme="minorHAnsi"/>
                <w:color w:val="000000" w:themeColor="text1"/>
                <w:sz w:val="22"/>
                <w:szCs w:val="22"/>
              </w:rPr>
              <w:t xml:space="preserve">Proactively advise and provide expertise </w:t>
            </w:r>
            <w:r>
              <w:rPr>
                <w:rFonts w:asciiTheme="minorHAnsi" w:hAnsiTheme="minorHAnsi"/>
                <w:color w:val="000000" w:themeColor="text1"/>
                <w:sz w:val="22"/>
                <w:szCs w:val="22"/>
              </w:rPr>
              <w:t xml:space="preserve">and leadership </w:t>
            </w:r>
            <w:r w:rsidRPr="00251F06">
              <w:rPr>
                <w:rFonts w:asciiTheme="minorHAnsi" w:hAnsiTheme="minorHAnsi"/>
                <w:color w:val="000000" w:themeColor="text1"/>
                <w:sz w:val="22"/>
                <w:szCs w:val="22"/>
              </w:rPr>
              <w:t xml:space="preserve">to the University in the areas of work that the team engage in, including Information Literacy and Learner Journeys, </w:t>
            </w:r>
            <w:r>
              <w:rPr>
                <w:rFonts w:asciiTheme="minorHAnsi" w:hAnsiTheme="minorHAnsi"/>
                <w:color w:val="000000" w:themeColor="text1"/>
                <w:sz w:val="22"/>
                <w:szCs w:val="22"/>
              </w:rPr>
              <w:t xml:space="preserve">Study Skills, service and resource provision to partnership students and staff, </w:t>
            </w:r>
            <w:r w:rsidRPr="00251F06">
              <w:rPr>
                <w:rFonts w:asciiTheme="minorHAnsi" w:hAnsiTheme="minorHAnsi"/>
                <w:color w:val="000000" w:themeColor="text1"/>
                <w:sz w:val="22"/>
                <w:szCs w:val="22"/>
              </w:rPr>
              <w:t xml:space="preserve">and engaging </w:t>
            </w:r>
            <w:r w:rsidRPr="009B5A87">
              <w:rPr>
                <w:rFonts w:asciiTheme="minorHAnsi" w:hAnsiTheme="minorHAnsi"/>
                <w:color w:val="000000" w:themeColor="text1"/>
                <w:sz w:val="22"/>
                <w:szCs w:val="22"/>
              </w:rPr>
              <w:t xml:space="preserve">with students as partners. </w:t>
            </w:r>
          </w:p>
          <w:p w14:paraId="00AD36D5" w14:textId="77777777" w:rsidR="006B42C9" w:rsidRPr="009B5A87" w:rsidRDefault="006B42C9" w:rsidP="105508F8">
            <w:pPr>
              <w:pStyle w:val="ListParagraph"/>
              <w:numPr>
                <w:ilvl w:val="0"/>
                <w:numId w:val="6"/>
              </w:numPr>
              <w:rPr>
                <w:rFonts w:asciiTheme="minorHAnsi" w:hAnsiTheme="minorHAnsi"/>
                <w:color w:val="000000" w:themeColor="text1"/>
                <w:sz w:val="22"/>
                <w:szCs w:val="22"/>
              </w:rPr>
            </w:pPr>
            <w:r w:rsidRPr="009B5A87">
              <w:rPr>
                <w:rFonts w:ascii="Calibri" w:hAnsi="Calibri" w:cs="Calibri"/>
                <w:color w:val="201F1E"/>
                <w:sz w:val="22"/>
                <w:szCs w:val="22"/>
                <w:shd w:val="clear" w:color="auto" w:fill="FFFFFF"/>
                <w:lang w:eastAsia="en-GB"/>
              </w:rPr>
              <w:t xml:space="preserve">Work closely with other library teams, particularly the Hive Library Manager, proactively looking for cross-departmental opportunities to align teams and services and build strong working relationships, (the current focus is around staff development and </w:t>
            </w:r>
            <w:proofErr w:type="gramStart"/>
            <w:r w:rsidRPr="009B5A87">
              <w:rPr>
                <w:rFonts w:ascii="Calibri" w:hAnsi="Calibri" w:cs="Calibri"/>
                <w:color w:val="201F1E"/>
                <w:sz w:val="22"/>
                <w:szCs w:val="22"/>
                <w:shd w:val="clear" w:color="auto" w:fill="FFFFFF"/>
                <w:lang w:eastAsia="en-GB"/>
              </w:rPr>
              <w:t>training,  and</w:t>
            </w:r>
            <w:proofErr w:type="gramEnd"/>
            <w:r w:rsidRPr="009B5A87">
              <w:rPr>
                <w:rFonts w:ascii="Calibri" w:hAnsi="Calibri" w:cs="Calibri"/>
                <w:color w:val="201F1E"/>
                <w:sz w:val="22"/>
                <w:szCs w:val="22"/>
                <w:shd w:val="clear" w:color="auto" w:fill="FFFFFF"/>
                <w:lang w:eastAsia="en-GB"/>
              </w:rPr>
              <w:t xml:space="preserve"> EDI initiatives)</w:t>
            </w:r>
            <w:r>
              <w:rPr>
                <w:rFonts w:ascii="Calibri" w:hAnsi="Calibri" w:cs="Calibri"/>
                <w:color w:val="201F1E"/>
                <w:sz w:val="22"/>
                <w:szCs w:val="22"/>
                <w:shd w:val="clear" w:color="auto" w:fill="FFFFFF"/>
                <w:lang w:eastAsia="en-GB"/>
              </w:rPr>
              <w:t>.</w:t>
            </w:r>
          </w:p>
          <w:p w14:paraId="1D1D72C1" w14:textId="77777777" w:rsidR="006B42C9" w:rsidRDefault="006B42C9" w:rsidP="006B42C9">
            <w:pPr>
              <w:pStyle w:val="Body1"/>
              <w:spacing w:after="120"/>
              <w:rPr>
                <w:rFonts w:asciiTheme="minorHAnsi" w:hAnsiTheme="minorHAnsi"/>
                <w:b/>
                <w:bCs/>
                <w:color w:val="000000" w:themeColor="text1"/>
                <w:sz w:val="22"/>
                <w:szCs w:val="22"/>
              </w:rPr>
            </w:pPr>
          </w:p>
          <w:p w14:paraId="592F771F" w14:textId="3A6A5A78" w:rsidR="006B42C9" w:rsidRPr="00251F06" w:rsidRDefault="006B42C9" w:rsidP="006B42C9">
            <w:pPr>
              <w:pStyle w:val="Body1"/>
              <w:spacing w:after="120"/>
              <w:rPr>
                <w:rFonts w:asciiTheme="minorHAnsi" w:hAnsiTheme="minorHAnsi"/>
                <w:b/>
                <w:bCs/>
                <w:color w:val="000000" w:themeColor="text1"/>
                <w:sz w:val="22"/>
                <w:szCs w:val="22"/>
              </w:rPr>
            </w:pPr>
            <w:r w:rsidRPr="00251F06">
              <w:rPr>
                <w:rFonts w:asciiTheme="minorHAnsi" w:hAnsiTheme="minorHAnsi"/>
                <w:b/>
                <w:bCs/>
                <w:color w:val="000000" w:themeColor="text1"/>
                <w:sz w:val="22"/>
                <w:szCs w:val="22"/>
              </w:rPr>
              <w:t>Liaison and Engagement</w:t>
            </w:r>
          </w:p>
          <w:p w14:paraId="0CF9D6CE" w14:textId="77777777" w:rsidR="006B42C9" w:rsidRPr="009B5A87" w:rsidRDefault="006B42C9" w:rsidP="006B42C9">
            <w:pPr>
              <w:pStyle w:val="Body1"/>
              <w:numPr>
                <w:ilvl w:val="0"/>
                <w:numId w:val="6"/>
              </w:numPr>
              <w:spacing w:after="120"/>
              <w:rPr>
                <w:rFonts w:asciiTheme="minorHAnsi" w:hAnsiTheme="minorHAnsi"/>
                <w:color w:val="000000" w:themeColor="text1"/>
                <w:sz w:val="22"/>
                <w:szCs w:val="22"/>
              </w:rPr>
            </w:pPr>
            <w:r w:rsidRPr="009B5A87">
              <w:rPr>
                <w:rFonts w:asciiTheme="minorHAnsi" w:hAnsiTheme="minorHAnsi"/>
                <w:color w:val="000000" w:themeColor="text1"/>
                <w:sz w:val="22"/>
                <w:szCs w:val="22"/>
              </w:rPr>
              <w:t>Maintain and enhance close and effective links with students and professional and academic staff, supporting the team to work in partnership with them to co-design, develop and evaluate services that meet the learning and teaching needs of the academic community.</w:t>
            </w:r>
          </w:p>
          <w:p w14:paraId="2925599F" w14:textId="0E17EB51" w:rsidR="006B42C9" w:rsidRPr="009B5A87" w:rsidRDefault="006B42C9" w:rsidP="6A1112AE">
            <w:pPr>
              <w:pStyle w:val="Body1"/>
              <w:numPr>
                <w:ilvl w:val="0"/>
                <w:numId w:val="6"/>
              </w:numPr>
              <w:spacing w:after="120"/>
              <w:rPr>
                <w:rFonts w:asciiTheme="minorHAnsi" w:eastAsiaTheme="minorEastAsia" w:hAnsiTheme="minorHAnsi" w:cstheme="minorBidi"/>
                <w:color w:val="000000" w:themeColor="text1"/>
                <w:sz w:val="22"/>
                <w:szCs w:val="22"/>
              </w:rPr>
            </w:pPr>
            <w:r w:rsidRPr="6A1112AE">
              <w:rPr>
                <w:rFonts w:asciiTheme="minorHAnsi" w:hAnsiTheme="minorHAnsi"/>
                <w:color w:val="000000" w:themeColor="text1"/>
                <w:sz w:val="22"/>
                <w:szCs w:val="22"/>
              </w:rPr>
              <w:lastRenderedPageBreak/>
              <w:t>Work closely with the Hive Library Manager and liaise with other WCC Library Managers to oversee and develop a comprehensive library enquiries service to both University and community library users, which fits with and enhances the work of the AE team’s members.</w:t>
            </w:r>
          </w:p>
          <w:p w14:paraId="17A28528" w14:textId="50EF65A4" w:rsidR="006B42C9" w:rsidRPr="009B5A87" w:rsidRDefault="006B42C9" w:rsidP="6A1112AE">
            <w:pPr>
              <w:pStyle w:val="Body1"/>
              <w:numPr>
                <w:ilvl w:val="0"/>
                <w:numId w:val="6"/>
              </w:numPr>
              <w:spacing w:after="120"/>
              <w:rPr>
                <w:rFonts w:asciiTheme="minorHAnsi" w:eastAsiaTheme="minorEastAsia" w:hAnsiTheme="minorHAnsi" w:cstheme="minorBidi"/>
                <w:color w:val="000000" w:themeColor="text1"/>
                <w:sz w:val="22"/>
                <w:szCs w:val="22"/>
              </w:rPr>
            </w:pPr>
            <w:r w:rsidRPr="6A1112AE">
              <w:rPr>
                <w:rFonts w:asciiTheme="minorHAnsi" w:hAnsiTheme="minorHAnsi"/>
                <w:color w:val="000000" w:themeColor="text1"/>
                <w:sz w:val="22"/>
                <w:szCs w:val="22"/>
              </w:rPr>
              <w:t>Work closely with members of the University’s academic community and professional services and WCC Libraries Service Development Manager</w:t>
            </w:r>
            <w:r w:rsidR="6A1112AE" w:rsidRPr="6A1112AE">
              <w:rPr>
                <w:rFonts w:asciiTheme="minorHAnsi" w:hAnsiTheme="minorHAnsi"/>
                <w:color w:val="000000" w:themeColor="text1"/>
                <w:sz w:val="22"/>
                <w:szCs w:val="22"/>
              </w:rPr>
              <w:t xml:space="preserve"> </w:t>
            </w:r>
            <w:r w:rsidRPr="6A1112AE">
              <w:rPr>
                <w:rFonts w:asciiTheme="minorHAnsi" w:hAnsiTheme="minorHAnsi"/>
                <w:color w:val="000000" w:themeColor="text1"/>
                <w:sz w:val="22"/>
                <w:szCs w:val="22"/>
              </w:rPr>
              <w:t>to support and develop services and activities that enhance public engagement.</w:t>
            </w:r>
          </w:p>
          <w:p w14:paraId="517C1880" w14:textId="43613E99" w:rsidR="006B42C9" w:rsidRPr="009B5A87" w:rsidRDefault="006B42C9" w:rsidP="6A1112AE">
            <w:pPr>
              <w:pStyle w:val="Body1"/>
              <w:numPr>
                <w:ilvl w:val="0"/>
                <w:numId w:val="6"/>
              </w:numPr>
              <w:spacing w:after="120"/>
              <w:rPr>
                <w:color w:val="000000" w:themeColor="text1"/>
                <w:sz w:val="22"/>
                <w:szCs w:val="22"/>
              </w:rPr>
            </w:pPr>
            <w:r w:rsidRPr="6A1112AE">
              <w:rPr>
                <w:rFonts w:asciiTheme="minorHAnsi" w:hAnsiTheme="minorHAnsi"/>
                <w:color w:val="000000" w:themeColor="text1"/>
                <w:sz w:val="22"/>
                <w:szCs w:val="22"/>
              </w:rPr>
              <w:t xml:space="preserve"> Chair the Library Services Communications group to ensure regular and effective communications of library activity to all customer groups, liaising with other University departments and WCC Libraries as appropriate. </w:t>
            </w:r>
          </w:p>
          <w:p w14:paraId="20C4B69A" w14:textId="77777777" w:rsidR="006B42C9" w:rsidRPr="00251F06" w:rsidRDefault="006B42C9" w:rsidP="006B42C9">
            <w:pPr>
              <w:pStyle w:val="Body1"/>
              <w:spacing w:after="120"/>
              <w:rPr>
                <w:rFonts w:asciiTheme="minorHAnsi" w:hAnsiTheme="minorHAnsi"/>
                <w:b/>
                <w:bCs/>
                <w:color w:val="000000" w:themeColor="text1"/>
                <w:sz w:val="22"/>
                <w:szCs w:val="22"/>
              </w:rPr>
            </w:pPr>
            <w:r w:rsidRPr="00251F06">
              <w:rPr>
                <w:rFonts w:asciiTheme="minorHAnsi" w:hAnsiTheme="minorHAnsi"/>
                <w:b/>
                <w:bCs/>
                <w:color w:val="000000" w:themeColor="text1"/>
                <w:sz w:val="22"/>
                <w:szCs w:val="22"/>
              </w:rPr>
              <w:t xml:space="preserve">Information </w:t>
            </w:r>
            <w:r>
              <w:rPr>
                <w:rFonts w:asciiTheme="minorHAnsi" w:hAnsiTheme="minorHAnsi"/>
                <w:b/>
                <w:bCs/>
                <w:color w:val="000000" w:themeColor="text1"/>
                <w:sz w:val="22"/>
                <w:szCs w:val="22"/>
              </w:rPr>
              <w:t xml:space="preserve">and Digital </w:t>
            </w:r>
            <w:r w:rsidRPr="00251F06">
              <w:rPr>
                <w:rFonts w:asciiTheme="minorHAnsi" w:hAnsiTheme="minorHAnsi"/>
                <w:b/>
                <w:bCs/>
                <w:color w:val="000000" w:themeColor="text1"/>
                <w:sz w:val="22"/>
                <w:szCs w:val="22"/>
              </w:rPr>
              <w:t>Literacy and learner development</w:t>
            </w:r>
          </w:p>
          <w:p w14:paraId="359DEC17" w14:textId="77777777" w:rsidR="006B42C9" w:rsidRPr="009B5A87" w:rsidRDefault="006B42C9" w:rsidP="6A1112AE">
            <w:pPr>
              <w:pStyle w:val="Body1"/>
              <w:numPr>
                <w:ilvl w:val="0"/>
                <w:numId w:val="6"/>
              </w:numPr>
              <w:spacing w:after="120"/>
              <w:rPr>
                <w:rFonts w:asciiTheme="minorHAnsi" w:hAnsiTheme="minorHAnsi"/>
                <w:b/>
                <w:bCs/>
                <w:color w:val="000000" w:themeColor="text1"/>
                <w:sz w:val="22"/>
                <w:szCs w:val="22"/>
              </w:rPr>
            </w:pPr>
            <w:r w:rsidRPr="6A1112AE">
              <w:rPr>
                <w:rFonts w:asciiTheme="minorHAnsi" w:hAnsiTheme="minorHAnsi"/>
                <w:color w:val="000000" w:themeColor="text1"/>
                <w:sz w:val="22"/>
                <w:szCs w:val="22"/>
              </w:rPr>
              <w:t xml:space="preserve">Continue to develop, </w:t>
            </w:r>
            <w:proofErr w:type="gramStart"/>
            <w:r w:rsidRPr="6A1112AE">
              <w:rPr>
                <w:rFonts w:asciiTheme="minorHAnsi" w:hAnsiTheme="minorHAnsi"/>
                <w:color w:val="000000" w:themeColor="text1"/>
                <w:sz w:val="22"/>
                <w:szCs w:val="22"/>
              </w:rPr>
              <w:t>embed</w:t>
            </w:r>
            <w:proofErr w:type="gramEnd"/>
            <w:r w:rsidRPr="6A1112AE">
              <w:rPr>
                <w:rFonts w:asciiTheme="minorHAnsi" w:hAnsiTheme="minorHAnsi"/>
                <w:color w:val="000000" w:themeColor="text1"/>
                <w:sz w:val="22"/>
                <w:szCs w:val="22"/>
              </w:rPr>
              <w:t xml:space="preserve"> and evaluate a clear policy and programme of scalable library teaching and support for on- and off-campus-based students and learners at all levels and stages of their learner journey, including those transitioning into HE, integrated in or aligned to the curriculum and delivered face to face and online as appropriate.</w:t>
            </w:r>
          </w:p>
          <w:p w14:paraId="06770666" w14:textId="5D34266F" w:rsidR="006B42C9" w:rsidRPr="009B5A87" w:rsidRDefault="006B42C9" w:rsidP="3A59CA53">
            <w:pPr>
              <w:pStyle w:val="Body1"/>
              <w:numPr>
                <w:ilvl w:val="0"/>
                <w:numId w:val="6"/>
              </w:numPr>
              <w:spacing w:after="120"/>
              <w:rPr>
                <w:rFonts w:asciiTheme="minorHAnsi" w:hAnsiTheme="minorHAnsi"/>
                <w:b/>
                <w:bCs/>
                <w:color w:val="000000" w:themeColor="text1"/>
                <w:sz w:val="22"/>
                <w:szCs w:val="22"/>
              </w:rPr>
            </w:pPr>
            <w:r w:rsidRPr="6A1112AE">
              <w:rPr>
                <w:rFonts w:asciiTheme="minorHAnsi" w:hAnsiTheme="minorHAnsi"/>
                <w:color w:val="000000" w:themeColor="text1"/>
                <w:sz w:val="22"/>
                <w:szCs w:val="22"/>
              </w:rPr>
              <w:t>Liaise with other University Departments to lead on the maintenance, monitoring and development of a suite of study skills resources for students including the Study Skills website.</w:t>
            </w:r>
          </w:p>
          <w:p w14:paraId="1F3D3AF1" w14:textId="77777777" w:rsidR="006B42C9" w:rsidRDefault="006B42C9" w:rsidP="6A1112AE">
            <w:pPr>
              <w:pStyle w:val="Body1"/>
              <w:numPr>
                <w:ilvl w:val="0"/>
                <w:numId w:val="6"/>
              </w:numPr>
              <w:spacing w:after="120"/>
              <w:rPr>
                <w:rFonts w:asciiTheme="minorHAnsi" w:hAnsiTheme="minorHAnsi"/>
                <w:color w:val="000000" w:themeColor="text1"/>
                <w:sz w:val="22"/>
                <w:szCs w:val="22"/>
              </w:rPr>
            </w:pPr>
            <w:r w:rsidRPr="6A1112AE">
              <w:rPr>
                <w:rFonts w:asciiTheme="minorHAnsi" w:hAnsiTheme="minorHAnsi"/>
                <w:color w:val="000000" w:themeColor="text1"/>
                <w:sz w:val="22"/>
                <w:szCs w:val="22"/>
              </w:rPr>
              <w:t>Support the team to provide pedagogically sound</w:t>
            </w:r>
            <w:r w:rsidRPr="6A1112AE">
              <w:rPr>
                <w:rFonts w:asciiTheme="minorHAnsi" w:hAnsiTheme="minorHAnsi"/>
                <w:i/>
                <w:iCs/>
                <w:color w:val="000000" w:themeColor="text1"/>
                <w:sz w:val="22"/>
                <w:szCs w:val="22"/>
              </w:rPr>
              <w:t xml:space="preserve"> </w:t>
            </w:r>
            <w:r w:rsidRPr="6A1112AE">
              <w:rPr>
                <w:rFonts w:asciiTheme="minorHAnsi" w:hAnsiTheme="minorHAnsi"/>
                <w:color w:val="000000" w:themeColor="text1"/>
                <w:sz w:val="22"/>
                <w:szCs w:val="22"/>
              </w:rPr>
              <w:t>advice to academics on good practice in the development and use of reading lists, and have oversight of the library reading resources available to students.</w:t>
            </w:r>
          </w:p>
          <w:p w14:paraId="0B0AF8C2" w14:textId="77777777" w:rsidR="006B42C9" w:rsidRPr="00251F06" w:rsidRDefault="006B42C9" w:rsidP="006B42C9">
            <w:pPr>
              <w:pStyle w:val="Body1"/>
              <w:rPr>
                <w:rFonts w:asciiTheme="minorHAnsi" w:hAnsiTheme="minorHAnsi"/>
                <w:color w:val="000000" w:themeColor="text1"/>
                <w:sz w:val="22"/>
                <w:szCs w:val="22"/>
              </w:rPr>
            </w:pPr>
            <w:r w:rsidRPr="00251F06">
              <w:rPr>
                <w:rFonts w:asciiTheme="minorHAnsi" w:hAnsiTheme="minorHAnsi"/>
                <w:b/>
                <w:bCs/>
                <w:color w:val="000000" w:themeColor="text1"/>
                <w:sz w:val="22"/>
                <w:szCs w:val="22"/>
              </w:rPr>
              <w:t>Advocacy and Other</w:t>
            </w:r>
            <w:r w:rsidRPr="00251F06">
              <w:rPr>
                <w:rFonts w:asciiTheme="minorHAnsi" w:hAnsiTheme="minorHAnsi"/>
                <w:color w:val="000000" w:themeColor="text1"/>
                <w:sz w:val="22"/>
                <w:szCs w:val="22"/>
              </w:rPr>
              <w:t xml:space="preserve"> </w:t>
            </w:r>
          </w:p>
          <w:p w14:paraId="3EF5EFB6" w14:textId="77777777" w:rsidR="006B42C9" w:rsidRPr="00251F06" w:rsidRDefault="006B42C9" w:rsidP="006B42C9">
            <w:pPr>
              <w:pStyle w:val="Body1"/>
              <w:rPr>
                <w:rFonts w:asciiTheme="minorHAnsi" w:hAnsiTheme="minorHAnsi"/>
                <w:color w:val="000000" w:themeColor="text1"/>
                <w:sz w:val="22"/>
                <w:szCs w:val="22"/>
              </w:rPr>
            </w:pPr>
          </w:p>
          <w:p w14:paraId="7BF9ECA9" w14:textId="77777777" w:rsidR="006B42C9" w:rsidRPr="00251F06" w:rsidRDefault="006B42C9" w:rsidP="6A1112AE">
            <w:pPr>
              <w:pStyle w:val="ListParagraph"/>
              <w:numPr>
                <w:ilvl w:val="0"/>
                <w:numId w:val="6"/>
              </w:numPr>
              <w:spacing w:after="200" w:line="276" w:lineRule="auto"/>
              <w:rPr>
                <w:rFonts w:asciiTheme="minorHAnsi" w:hAnsiTheme="minorHAnsi" w:cs="Arial"/>
                <w:color w:val="000000" w:themeColor="text1"/>
                <w:sz w:val="22"/>
                <w:szCs w:val="22"/>
              </w:rPr>
            </w:pPr>
            <w:r w:rsidRPr="6A1112AE">
              <w:rPr>
                <w:rFonts w:asciiTheme="minorHAnsi" w:hAnsiTheme="minorHAnsi" w:cs="Arial"/>
                <w:color w:val="000000" w:themeColor="text1"/>
                <w:sz w:val="22"/>
                <w:szCs w:val="22"/>
              </w:rPr>
              <w:t xml:space="preserve">Keep abreast of developments and good practice which enhance and support learning and teaching and research and provide advice to colleagues and senior management on the potential implications of those developments to the University. </w:t>
            </w:r>
          </w:p>
          <w:p w14:paraId="3DF8FD8A" w14:textId="77777777" w:rsidR="006B42C9" w:rsidRPr="00251F06" w:rsidRDefault="006B42C9" w:rsidP="6A1112AE">
            <w:pPr>
              <w:pStyle w:val="Body1"/>
              <w:numPr>
                <w:ilvl w:val="0"/>
                <w:numId w:val="6"/>
              </w:numPr>
              <w:rPr>
                <w:rFonts w:asciiTheme="minorHAnsi" w:hAnsiTheme="minorHAnsi"/>
                <w:color w:val="000000" w:themeColor="text1"/>
                <w:sz w:val="22"/>
                <w:szCs w:val="22"/>
              </w:rPr>
            </w:pPr>
            <w:r w:rsidRPr="6A1112AE">
              <w:rPr>
                <w:rFonts w:asciiTheme="minorHAnsi" w:hAnsiTheme="minorHAnsi"/>
                <w:color w:val="000000" w:themeColor="text1"/>
                <w:sz w:val="22"/>
                <w:szCs w:val="22"/>
              </w:rPr>
              <w:t xml:space="preserve">Lead a culture of personal development in the team - contribute to current discussions in the field and engage with relevant national networks and professional bodies. This will include the sharing of practice at conferences and similar events, </w:t>
            </w:r>
            <w:proofErr w:type="gramStart"/>
            <w:r w:rsidRPr="6A1112AE">
              <w:rPr>
                <w:rFonts w:asciiTheme="minorHAnsi" w:hAnsiTheme="minorHAnsi"/>
                <w:color w:val="000000" w:themeColor="text1"/>
                <w:sz w:val="22"/>
                <w:szCs w:val="22"/>
              </w:rPr>
              <w:t>publications</w:t>
            </w:r>
            <w:proofErr w:type="gramEnd"/>
            <w:r w:rsidRPr="6A1112AE">
              <w:rPr>
                <w:rFonts w:asciiTheme="minorHAnsi" w:hAnsiTheme="minorHAnsi"/>
                <w:color w:val="000000" w:themeColor="text1"/>
                <w:sz w:val="22"/>
                <w:szCs w:val="22"/>
              </w:rPr>
              <w:t xml:space="preserve"> and other routes such as social media. </w:t>
            </w:r>
          </w:p>
          <w:p w14:paraId="14237193" w14:textId="77777777" w:rsidR="006B42C9" w:rsidRPr="00251F06" w:rsidRDefault="006B42C9" w:rsidP="006B42C9">
            <w:pPr>
              <w:pStyle w:val="Body1"/>
              <w:rPr>
                <w:rFonts w:asciiTheme="minorHAnsi" w:hAnsiTheme="minorHAnsi"/>
                <w:b/>
                <w:color w:val="000000" w:themeColor="text1"/>
                <w:sz w:val="22"/>
                <w:szCs w:val="22"/>
              </w:rPr>
            </w:pPr>
          </w:p>
          <w:p w14:paraId="2EC8D118" w14:textId="77777777" w:rsidR="006B42C9" w:rsidRPr="00251F06" w:rsidRDefault="006B42C9" w:rsidP="6A1112AE">
            <w:pPr>
              <w:pStyle w:val="Body1"/>
              <w:numPr>
                <w:ilvl w:val="0"/>
                <w:numId w:val="6"/>
              </w:numPr>
              <w:tabs>
                <w:tab w:val="left" w:pos="360"/>
              </w:tabs>
              <w:spacing w:after="120"/>
              <w:rPr>
                <w:rFonts w:asciiTheme="minorHAnsi" w:hAnsiTheme="minorHAnsi"/>
                <w:color w:val="000000" w:themeColor="text1"/>
                <w:sz w:val="22"/>
                <w:szCs w:val="22"/>
              </w:rPr>
            </w:pPr>
            <w:r w:rsidRPr="6A1112AE">
              <w:rPr>
                <w:rFonts w:asciiTheme="minorHAnsi" w:hAnsiTheme="minorHAnsi"/>
                <w:color w:val="000000" w:themeColor="text1"/>
                <w:sz w:val="22"/>
                <w:szCs w:val="22"/>
              </w:rPr>
              <w:t xml:space="preserve">Lead and manage projects and undertake research with a variety of stakeholders within and beyond the University, exploring, </w:t>
            </w:r>
            <w:proofErr w:type="gramStart"/>
            <w:r w:rsidRPr="6A1112AE">
              <w:rPr>
                <w:rFonts w:asciiTheme="minorHAnsi" w:hAnsiTheme="minorHAnsi"/>
                <w:color w:val="000000" w:themeColor="text1"/>
                <w:sz w:val="22"/>
                <w:szCs w:val="22"/>
              </w:rPr>
              <w:t>evaluating</w:t>
            </w:r>
            <w:proofErr w:type="gramEnd"/>
            <w:r w:rsidRPr="6A1112AE">
              <w:rPr>
                <w:rFonts w:asciiTheme="minorHAnsi" w:hAnsiTheme="minorHAnsi"/>
                <w:color w:val="000000" w:themeColor="text1"/>
                <w:sz w:val="22"/>
                <w:szCs w:val="22"/>
              </w:rPr>
              <w:t xml:space="preserve"> and prioritising innovative approaches to service delivery </w:t>
            </w:r>
            <w:r w:rsidRPr="6A1112AE">
              <w:rPr>
                <w:rFonts w:asciiTheme="minorHAnsi" w:hAnsiTheme="minorHAnsi" w:cs="Arial"/>
                <w:color w:val="000000" w:themeColor="text1"/>
                <w:sz w:val="22"/>
                <w:szCs w:val="22"/>
              </w:rPr>
              <w:t xml:space="preserve">in order that they continue to meet University requirements. </w:t>
            </w:r>
          </w:p>
          <w:p w14:paraId="690A6480" w14:textId="77777777" w:rsidR="006B42C9" w:rsidRPr="00251F06" w:rsidRDefault="006B42C9" w:rsidP="006B42C9">
            <w:pPr>
              <w:pStyle w:val="Body1"/>
              <w:rPr>
                <w:rFonts w:asciiTheme="minorHAnsi" w:hAnsiTheme="minorHAnsi"/>
                <w:color w:val="000000" w:themeColor="text1"/>
                <w:sz w:val="22"/>
                <w:szCs w:val="22"/>
              </w:rPr>
            </w:pPr>
          </w:p>
          <w:p w14:paraId="4EBE7A16" w14:textId="77777777" w:rsidR="006B42C9" w:rsidRPr="00251F06" w:rsidRDefault="006B42C9" w:rsidP="006B42C9">
            <w:pPr>
              <w:pStyle w:val="Body1"/>
              <w:rPr>
                <w:rFonts w:asciiTheme="minorHAnsi" w:hAnsiTheme="minorHAnsi"/>
                <w:color w:val="000000" w:themeColor="text1"/>
                <w:sz w:val="22"/>
                <w:szCs w:val="22"/>
              </w:rPr>
            </w:pPr>
            <w:r w:rsidRPr="00251F06">
              <w:rPr>
                <w:rFonts w:asciiTheme="minorHAnsi" w:hAnsiTheme="minorHAnsi"/>
                <w:color w:val="000000" w:themeColor="text1"/>
                <w:sz w:val="22"/>
                <w:szCs w:val="22"/>
              </w:rPr>
              <w:t>General duties:</w:t>
            </w:r>
          </w:p>
          <w:p w14:paraId="7C5E73EE" w14:textId="77777777" w:rsidR="006B42C9" w:rsidRPr="00251F06" w:rsidRDefault="006B42C9" w:rsidP="006B42C9">
            <w:pPr>
              <w:pStyle w:val="Body1"/>
              <w:rPr>
                <w:rFonts w:asciiTheme="minorHAnsi" w:hAnsiTheme="minorHAnsi"/>
                <w:color w:val="000000" w:themeColor="text1"/>
                <w:sz w:val="22"/>
                <w:szCs w:val="22"/>
              </w:rPr>
            </w:pPr>
            <w:r w:rsidRPr="00251F06">
              <w:rPr>
                <w:rFonts w:asciiTheme="minorHAnsi" w:hAnsiTheme="minorHAnsi"/>
                <w:color w:val="000000" w:themeColor="text1"/>
                <w:sz w:val="22"/>
                <w:szCs w:val="22"/>
              </w:rPr>
              <w:t>Maintain personal and professional development to meet the changing demands of the job, participate in appropriate training activities and encourage and support staff in their development and training.</w:t>
            </w:r>
          </w:p>
          <w:p w14:paraId="4E927EC6" w14:textId="77777777" w:rsidR="006B42C9" w:rsidRPr="00251F06" w:rsidRDefault="006B42C9" w:rsidP="006B42C9">
            <w:pPr>
              <w:pStyle w:val="Body1"/>
              <w:rPr>
                <w:rFonts w:asciiTheme="minorHAnsi" w:hAnsiTheme="minorHAnsi"/>
                <w:color w:val="000000" w:themeColor="text1"/>
                <w:sz w:val="22"/>
                <w:szCs w:val="22"/>
                <w:u w:color="FF0000"/>
              </w:rPr>
            </w:pPr>
          </w:p>
          <w:p w14:paraId="651661F2" w14:textId="77777777" w:rsidR="006B42C9" w:rsidRPr="00251F06" w:rsidRDefault="006B42C9" w:rsidP="006B42C9">
            <w:pPr>
              <w:pStyle w:val="Body1"/>
              <w:rPr>
                <w:rFonts w:asciiTheme="minorHAnsi" w:hAnsiTheme="minorHAnsi"/>
                <w:color w:val="000000" w:themeColor="text1"/>
                <w:sz w:val="22"/>
                <w:szCs w:val="22"/>
              </w:rPr>
            </w:pPr>
            <w:r w:rsidRPr="00251F06">
              <w:rPr>
                <w:rFonts w:asciiTheme="minorHAnsi" w:hAnsiTheme="minorHAnsi"/>
                <w:color w:val="000000" w:themeColor="text1"/>
                <w:sz w:val="22"/>
                <w:szCs w:val="22"/>
              </w:rPr>
              <w:t xml:space="preserve">Take steps to ensure and enhance your health, </w:t>
            </w:r>
            <w:proofErr w:type="gramStart"/>
            <w:r w:rsidRPr="00251F06">
              <w:rPr>
                <w:rFonts w:asciiTheme="minorHAnsi" w:hAnsiTheme="minorHAnsi"/>
                <w:color w:val="000000" w:themeColor="text1"/>
                <w:sz w:val="22"/>
                <w:szCs w:val="22"/>
              </w:rPr>
              <w:t>safety</w:t>
            </w:r>
            <w:proofErr w:type="gramEnd"/>
            <w:r w:rsidRPr="00251F06">
              <w:rPr>
                <w:rFonts w:asciiTheme="minorHAnsi" w:hAnsiTheme="minorHAnsi"/>
                <w:color w:val="000000" w:themeColor="text1"/>
                <w:sz w:val="22"/>
                <w:szCs w:val="22"/>
              </w:rPr>
              <w:t xml:space="preserve"> and well-being and that of staff and students.  Carry out your duties in a manner that promotes equality of opportunity and supports diversity and inclusion and </w:t>
            </w:r>
            <w:proofErr w:type="gramStart"/>
            <w:r w:rsidRPr="00251F06">
              <w:rPr>
                <w:rFonts w:asciiTheme="minorHAnsi" w:hAnsiTheme="minorHAnsi"/>
                <w:color w:val="000000" w:themeColor="text1"/>
                <w:sz w:val="22"/>
                <w:szCs w:val="22"/>
              </w:rPr>
              <w:t>takes into account</w:t>
            </w:r>
            <w:proofErr w:type="gramEnd"/>
            <w:r w:rsidRPr="00251F06">
              <w:rPr>
                <w:rFonts w:asciiTheme="minorHAnsi" w:hAnsiTheme="minorHAnsi"/>
                <w:color w:val="000000" w:themeColor="text1"/>
                <w:sz w:val="22"/>
                <w:szCs w:val="22"/>
              </w:rPr>
              <w:t xml:space="preserve"> the University’s commitment to environmentally sustainable ways of working.</w:t>
            </w:r>
          </w:p>
          <w:p w14:paraId="619C0C73" w14:textId="77777777" w:rsidR="001B6B39" w:rsidRDefault="006D7B3F" w:rsidP="00120067">
            <w:pPr>
              <w:pStyle w:val="NormalWeb"/>
              <w:shd w:val="clear" w:color="auto" w:fill="FFFFFF"/>
              <w:spacing w:before="150" w:beforeAutospacing="0" w:after="150" w:afterAutospacing="0"/>
              <w:ind w:right="150"/>
              <w:rPr>
                <w:rFonts w:asciiTheme="minorHAnsi" w:hAnsiTheme="minorHAnsi" w:cstheme="minorHAnsi"/>
                <w:color w:val="000000"/>
                <w:sz w:val="20"/>
                <w:szCs w:val="22"/>
              </w:rPr>
            </w:pPr>
            <w:r w:rsidRPr="00120067">
              <w:rPr>
                <w:rFonts w:asciiTheme="minorHAnsi" w:hAnsiTheme="minorHAnsi" w:cstheme="minorHAnsi"/>
                <w:color w:val="000000"/>
                <w:sz w:val="20"/>
                <w:szCs w:val="22"/>
              </w:rPr>
              <w:t>*The above does not represent an exhaustive list of duties associated with this role.</w:t>
            </w:r>
          </w:p>
          <w:p w14:paraId="3A9674D7" w14:textId="77777777" w:rsidR="007B5381" w:rsidRPr="00E53BFA" w:rsidRDefault="00E53BFA" w:rsidP="00E53BFA">
            <w:pPr>
              <w:spacing w:line="259" w:lineRule="auto"/>
              <w:jc w:val="both"/>
              <w:rPr>
                <w:color w:val="FF0000"/>
                <w:sz w:val="18"/>
                <w:szCs w:val="20"/>
              </w:rPr>
            </w:pPr>
            <w:r w:rsidRPr="00A91771">
              <w:rPr>
                <w:color w:val="FF0000"/>
                <w:sz w:val="18"/>
                <w:szCs w:val="20"/>
              </w:rPr>
              <w:lastRenderedPageBreak/>
              <w:t xml:space="preserve">Disclosure: This employment is exempt from the Rehabilitation of Offenders Act 1974. Candidates will be required to declare any criminal convictions, cautions or bind-overs, including any that would be regarded as spent under the Act in other circumstances. If you are selected for </w:t>
            </w:r>
            <w:proofErr w:type="gramStart"/>
            <w:r w:rsidRPr="00A91771">
              <w:rPr>
                <w:color w:val="FF0000"/>
                <w:sz w:val="18"/>
                <w:szCs w:val="20"/>
              </w:rPr>
              <w:t>appointment</w:t>
            </w:r>
            <w:proofErr w:type="gramEnd"/>
            <w:r w:rsidRPr="00A91771">
              <w:rPr>
                <w:color w:val="FF0000"/>
                <w:sz w:val="18"/>
                <w:szCs w:val="20"/>
              </w:rPr>
              <w:t xml:space="preserve"> you will be required to apply to the Disclosure and Barring Service for a Criminal Records Check/Barred List Check.</w:t>
            </w:r>
          </w:p>
        </w:tc>
      </w:tr>
    </w:tbl>
    <w:p w14:paraId="488B313A" w14:textId="77777777" w:rsidR="00A03FF8" w:rsidRDefault="00A03FF8" w:rsidP="0079285F">
      <w:pPr>
        <w:jc w:val="right"/>
      </w:pPr>
    </w:p>
    <w:sectPr w:rsidR="00A03FF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11412" w14:textId="77777777" w:rsidR="00E17EB7" w:rsidRDefault="00E17EB7" w:rsidP="001B6B39">
      <w:pPr>
        <w:spacing w:after="0" w:line="240" w:lineRule="auto"/>
      </w:pPr>
      <w:r>
        <w:separator/>
      </w:r>
    </w:p>
  </w:endnote>
  <w:endnote w:type="continuationSeparator" w:id="0">
    <w:p w14:paraId="5659260D" w14:textId="77777777" w:rsidR="00E17EB7" w:rsidRDefault="00E17EB7" w:rsidP="001B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191B" w14:textId="77777777" w:rsidR="00D056F7" w:rsidRDefault="00D05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7797" w14:textId="77777777" w:rsidR="007B5381" w:rsidRPr="007B5381" w:rsidRDefault="00263356" w:rsidP="007B5381">
    <w:pPr>
      <w:pStyle w:val="Footer"/>
      <w:jc w:val="right"/>
      <w:rPr>
        <w:sz w:val="16"/>
      </w:rPr>
    </w:pPr>
    <w:r w:rsidRPr="00263356">
      <w:rPr>
        <w:sz w:val="16"/>
      </w:rPr>
      <w:t xml:space="preserve">DBS Eligibility Last Assessed: </w:t>
    </w:r>
    <w:r>
      <w:rPr>
        <w:sz w:val="16"/>
      </w:rPr>
      <w:tab/>
    </w:r>
    <w:r>
      <w:rPr>
        <w:sz w:val="16"/>
      </w:rPr>
      <w:tab/>
    </w:r>
    <w:r w:rsidR="007B5381">
      <w:rPr>
        <w:sz w:val="16"/>
      </w:rPr>
      <w:t xml:space="preserve">Document Last Updated: </w:t>
    </w:r>
    <w:r>
      <w:rPr>
        <w:sz w:val="16"/>
      </w:rPr>
      <w:t>11/10</w:t>
    </w:r>
    <w:r w:rsidR="007B5381">
      <w:rPr>
        <w:sz w:val="16"/>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14D3" w14:textId="77777777" w:rsidR="00D056F7" w:rsidRDefault="00D05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5F0C7" w14:textId="77777777" w:rsidR="00E17EB7" w:rsidRDefault="00E17EB7" w:rsidP="001B6B39">
      <w:pPr>
        <w:spacing w:after="0" w:line="240" w:lineRule="auto"/>
      </w:pPr>
      <w:r>
        <w:separator/>
      </w:r>
    </w:p>
  </w:footnote>
  <w:footnote w:type="continuationSeparator" w:id="0">
    <w:p w14:paraId="1BDD21DA" w14:textId="77777777" w:rsidR="00E17EB7" w:rsidRDefault="00E17EB7" w:rsidP="001B6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C1C3" w14:textId="77777777" w:rsidR="00D056F7" w:rsidRDefault="00D05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C4D0" w14:textId="7102DB02" w:rsidR="00957CA3" w:rsidRPr="001B6B39" w:rsidRDefault="00D056F7" w:rsidP="001B6B39">
    <w:pPr>
      <w:pStyle w:val="Header"/>
      <w:rPr>
        <w:sz w:val="18"/>
        <w:szCs w:val="18"/>
      </w:rPr>
    </w:pPr>
    <w:sdt>
      <w:sdtPr>
        <w:rPr>
          <w:sz w:val="18"/>
          <w:szCs w:val="18"/>
        </w:rPr>
        <w:id w:val="251631630"/>
        <w:docPartObj>
          <w:docPartGallery w:val="Watermarks"/>
          <w:docPartUnique/>
        </w:docPartObj>
      </w:sdtPr>
      <w:sdtContent>
        <w:r w:rsidRPr="00D056F7">
          <w:rPr>
            <w:noProof/>
            <w:sz w:val="18"/>
            <w:szCs w:val="18"/>
          </w:rPr>
          <w:pict w14:anchorId="20A434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20067">
      <w:rPr>
        <w:noProof/>
        <w:lang w:eastAsia="en-GB"/>
      </w:rPr>
      <w:drawing>
        <wp:anchor distT="0" distB="0" distL="114300" distR="114300" simplePos="0" relativeHeight="251659264" behindDoc="1" locked="0" layoutInCell="1" allowOverlap="1" wp14:anchorId="1C37B838" wp14:editId="20A30C98">
          <wp:simplePos x="0" y="0"/>
          <wp:positionH relativeFrom="margin">
            <wp:posOffset>-361950</wp:posOffset>
          </wp:positionH>
          <wp:positionV relativeFrom="paragraph">
            <wp:posOffset>-324485</wp:posOffset>
          </wp:positionV>
          <wp:extent cx="1372024" cy="912549"/>
          <wp:effectExtent l="0" t="0" r="0" b="1905"/>
          <wp:wrapNone/>
          <wp:docPr id="2" name="Picture 2" descr="Image result for worcest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rcester universit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024" cy="9125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6B39">
      <w:rPr>
        <w:sz w:val="18"/>
        <w:szCs w:val="18"/>
      </w:rPr>
      <w:tab/>
    </w:r>
    <w:r w:rsidR="001B6B39">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A42" w14:textId="77777777" w:rsidR="00D056F7" w:rsidRDefault="00D05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DF8"/>
    <w:multiLevelType w:val="hybridMultilevel"/>
    <w:tmpl w:val="A7B08596"/>
    <w:lvl w:ilvl="0" w:tplc="5378A66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536CD"/>
    <w:multiLevelType w:val="hybridMultilevel"/>
    <w:tmpl w:val="4DAC2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B826DC"/>
    <w:multiLevelType w:val="hybridMultilevel"/>
    <w:tmpl w:val="D6C2604C"/>
    <w:lvl w:ilvl="0" w:tplc="D2D82160">
      <w:numFmt w:val="bullet"/>
      <w:lvlText w:val="-"/>
      <w:lvlJc w:val="left"/>
      <w:pPr>
        <w:ind w:left="510" w:hanging="360"/>
      </w:pPr>
      <w:rPr>
        <w:rFonts w:ascii="Calibri" w:eastAsia="Times New Roman" w:hAnsi="Calibri" w:cs="Calibr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3" w15:restartNumberingAfterBreak="0">
    <w:nsid w:val="45477E34"/>
    <w:multiLevelType w:val="hybridMultilevel"/>
    <w:tmpl w:val="AF9C6EF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4" w15:restartNumberingAfterBreak="0">
    <w:nsid w:val="5A327B74"/>
    <w:multiLevelType w:val="hybridMultilevel"/>
    <w:tmpl w:val="62B42954"/>
    <w:lvl w:ilvl="0" w:tplc="26749688">
      <w:start w:val="15"/>
      <w:numFmt w:val="bullet"/>
      <w:lvlText w:val=""/>
      <w:lvlJc w:val="left"/>
      <w:pPr>
        <w:ind w:left="510" w:hanging="360"/>
      </w:pPr>
      <w:rPr>
        <w:rFonts w:ascii="Symbol" w:eastAsia="Times New Roman" w:hAnsi="Symbol" w:cstheme="minorHAns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5" w15:restartNumberingAfterBreak="0">
    <w:nsid w:val="63404A3B"/>
    <w:multiLevelType w:val="hybridMultilevel"/>
    <w:tmpl w:val="8EBAED22"/>
    <w:lvl w:ilvl="0" w:tplc="08061C06">
      <w:start w:val="1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440DB0"/>
    <w:multiLevelType w:val="hybridMultilevel"/>
    <w:tmpl w:val="B8345B6E"/>
    <w:lvl w:ilvl="0" w:tplc="08090005">
      <w:start w:val="1"/>
      <w:numFmt w:val="bullet"/>
      <w:lvlText w:val=""/>
      <w:lvlJc w:val="left"/>
      <w:pPr>
        <w:ind w:left="510" w:hanging="360"/>
      </w:pPr>
      <w:rPr>
        <w:rFonts w:ascii="Wingdings" w:hAnsi="Wingdings"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39"/>
    <w:rsid w:val="000928BA"/>
    <w:rsid w:val="000F25FA"/>
    <w:rsid w:val="00120067"/>
    <w:rsid w:val="001207F7"/>
    <w:rsid w:val="001B6B39"/>
    <w:rsid w:val="00263356"/>
    <w:rsid w:val="003F7171"/>
    <w:rsid w:val="0048623B"/>
    <w:rsid w:val="004A0B6F"/>
    <w:rsid w:val="004A49CD"/>
    <w:rsid w:val="0059004D"/>
    <w:rsid w:val="006425B2"/>
    <w:rsid w:val="006911E4"/>
    <w:rsid w:val="006B42C9"/>
    <w:rsid w:val="006D7B3F"/>
    <w:rsid w:val="00776721"/>
    <w:rsid w:val="0079285F"/>
    <w:rsid w:val="007A32BB"/>
    <w:rsid w:val="007B0D42"/>
    <w:rsid w:val="007B5381"/>
    <w:rsid w:val="008B2CCA"/>
    <w:rsid w:val="009248B3"/>
    <w:rsid w:val="00957CA3"/>
    <w:rsid w:val="009A04AD"/>
    <w:rsid w:val="009E51BA"/>
    <w:rsid w:val="00A03FF8"/>
    <w:rsid w:val="00A065A9"/>
    <w:rsid w:val="00B12E4B"/>
    <w:rsid w:val="00C16C8C"/>
    <w:rsid w:val="00CC69F8"/>
    <w:rsid w:val="00D056F7"/>
    <w:rsid w:val="00E17EB7"/>
    <w:rsid w:val="00E53BFA"/>
    <w:rsid w:val="00F93447"/>
    <w:rsid w:val="00FE323D"/>
    <w:rsid w:val="105508F8"/>
    <w:rsid w:val="174E6A73"/>
    <w:rsid w:val="32DE9326"/>
    <w:rsid w:val="3431D66E"/>
    <w:rsid w:val="35CDA6CF"/>
    <w:rsid w:val="39C7BD19"/>
    <w:rsid w:val="3A59CA53"/>
    <w:rsid w:val="52B112CA"/>
    <w:rsid w:val="6A111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1DB8C6"/>
  <w15:chartTrackingRefBased/>
  <w15:docId w15:val="{282F0A8A-2714-43F9-B9EA-03B81562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B39"/>
  </w:style>
  <w:style w:type="paragraph" w:styleId="Footer">
    <w:name w:val="footer"/>
    <w:basedOn w:val="Normal"/>
    <w:link w:val="FooterChar"/>
    <w:uiPriority w:val="99"/>
    <w:unhideWhenUsed/>
    <w:rsid w:val="001B6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B39"/>
  </w:style>
  <w:style w:type="table" w:styleId="TableGrid">
    <w:name w:val="Table Grid"/>
    <w:basedOn w:val="TableNormal"/>
    <w:uiPriority w:val="39"/>
    <w:rsid w:val="001B6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6B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B42C9"/>
  </w:style>
  <w:style w:type="paragraph" w:customStyle="1" w:styleId="Body1">
    <w:name w:val="Body 1"/>
    <w:rsid w:val="006B42C9"/>
    <w:pPr>
      <w:spacing w:after="0" w:line="240" w:lineRule="auto"/>
      <w:outlineLvl w:val="0"/>
    </w:pPr>
    <w:rPr>
      <w:rFonts w:ascii="Times New Roman" w:eastAsia="Arial Unicode MS" w:hAnsi="Times New Roman" w:cs="Times New Roman"/>
      <w:color w:val="000000"/>
      <w:sz w:val="24"/>
      <w:szCs w:val="24"/>
      <w:u w:color="000000"/>
    </w:rPr>
  </w:style>
  <w:style w:type="paragraph" w:styleId="ListParagraph">
    <w:name w:val="List Paragraph"/>
    <w:basedOn w:val="Normal"/>
    <w:uiPriority w:val="34"/>
    <w:qFormat/>
    <w:rsid w:val="006B42C9"/>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40178">
      <w:bodyDiv w:val="1"/>
      <w:marLeft w:val="0"/>
      <w:marRight w:val="0"/>
      <w:marTop w:val="0"/>
      <w:marBottom w:val="0"/>
      <w:divBdr>
        <w:top w:val="none" w:sz="0" w:space="0" w:color="auto"/>
        <w:left w:val="none" w:sz="0" w:space="0" w:color="auto"/>
        <w:bottom w:val="none" w:sz="0" w:space="0" w:color="auto"/>
        <w:right w:val="none" w:sz="0" w:space="0" w:color="auto"/>
      </w:divBdr>
    </w:div>
    <w:div w:id="748233650">
      <w:bodyDiv w:val="1"/>
      <w:marLeft w:val="0"/>
      <w:marRight w:val="0"/>
      <w:marTop w:val="0"/>
      <w:marBottom w:val="0"/>
      <w:divBdr>
        <w:top w:val="none" w:sz="0" w:space="0" w:color="auto"/>
        <w:left w:val="none" w:sz="0" w:space="0" w:color="auto"/>
        <w:bottom w:val="none" w:sz="0" w:space="0" w:color="auto"/>
        <w:right w:val="none" w:sz="0" w:space="0" w:color="auto"/>
      </w:divBdr>
    </w:div>
    <w:div w:id="21225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2661D-70FB-476A-9AFB-3C343863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5002</Characters>
  <Application>Microsoft Office Word</Application>
  <DocSecurity>0</DocSecurity>
  <Lines>41</Lines>
  <Paragraphs>11</Paragraphs>
  <ScaleCrop>false</ScaleCrop>
  <Company>University of Worcester</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Geraghty</dc:creator>
  <cp:keywords/>
  <dc:description/>
  <cp:lastModifiedBy>Tom Geraghty</cp:lastModifiedBy>
  <cp:revision>7</cp:revision>
  <cp:lastPrinted>2018-06-21T09:26:00Z</cp:lastPrinted>
  <dcterms:created xsi:type="dcterms:W3CDTF">2022-01-25T14:58:00Z</dcterms:created>
  <dcterms:modified xsi:type="dcterms:W3CDTF">2022-04-27T13:00:00Z</dcterms:modified>
</cp:coreProperties>
</file>